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ascii="Times New Roman" w:hAnsi="Times New Roman" w:eastAsia="仿宋_GB2312" w:cs="Times New Roman"/>
          <w:sz w:val="32"/>
          <w:szCs w:val="32"/>
        </w:rPr>
      </w:pPr>
    </w:p>
    <w:p>
      <w:pPr>
        <w:spacing w:beforeLines="100" w:line="579"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sz w:val="44"/>
          <w:szCs w:val="44"/>
        </w:rPr>
        <w:t>中共</w:t>
      </w:r>
      <w:r>
        <w:rPr>
          <w:rFonts w:hint="eastAsia" w:ascii="Times New Roman" w:hAnsi="Times New Roman" w:eastAsia="方正小标宋简体" w:cs="Times New Roman"/>
          <w:sz w:val="44"/>
          <w:szCs w:val="44"/>
          <w:lang w:eastAsia="zh-CN"/>
        </w:rPr>
        <w:t>龙王庙镇党委</w:t>
      </w:r>
      <w:r>
        <w:rPr>
          <w:rFonts w:ascii="Times New Roman" w:hAnsi="Times New Roman" w:eastAsia="方正小标宋简体" w:cs="Times New Roman"/>
          <w:bCs/>
          <w:color w:val="000000"/>
          <w:kern w:val="0"/>
          <w:sz w:val="44"/>
          <w:szCs w:val="44"/>
        </w:rPr>
        <w:t>关于市委巡察整改</w:t>
      </w:r>
    </w:p>
    <w:p>
      <w:pPr>
        <w:spacing w:beforeLines="100" w:line="579"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落实进展情况的通报</w:t>
      </w:r>
      <w:bookmarkStart w:id="0" w:name="_GoBack"/>
      <w:bookmarkEnd w:id="0"/>
    </w:p>
    <w:p>
      <w:pPr>
        <w:spacing w:line="579" w:lineRule="exact"/>
        <w:ind w:firstLine="616"/>
        <w:rPr>
          <w:rFonts w:ascii="Times New Roman" w:hAnsi="Times New Roman" w:eastAsia="仿宋_GB2312" w:cs="Times New Roman"/>
          <w:bCs/>
          <w:spacing w:val="-6"/>
          <w:sz w:val="32"/>
          <w:szCs w:val="32"/>
        </w:rPr>
      </w:pPr>
    </w:p>
    <w:p>
      <w:pPr>
        <w:ind w:firstLine="616" w:firstLineChars="200"/>
        <w:jc w:val="both"/>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根据市委和市委巡察工作领导小组统一部署，2022年9月22日至12月22日，市委第二巡察组对龙王庙镇进行了巡察。2023年3月1日，市委巡察组向龙王庙镇反馈了巡察意见。按照《巡视工作条例》有关要求，现将巡察整改情况予以公布。</w:t>
      </w:r>
    </w:p>
    <w:p>
      <w:pPr>
        <w:spacing w:line="579" w:lineRule="exact"/>
        <w:ind w:firstLine="616"/>
        <w:rPr>
          <w:rFonts w:ascii="Times New Roman" w:hAnsi="Times New Roman" w:eastAsia="方正黑体简体" w:cs="Times New Roman"/>
          <w:b/>
          <w:bCs w:val="0"/>
          <w:spacing w:val="-6"/>
          <w:sz w:val="32"/>
          <w:szCs w:val="32"/>
        </w:rPr>
      </w:pPr>
      <w:r>
        <w:rPr>
          <w:rFonts w:ascii="Times New Roman" w:hAnsi="Times New Roman" w:eastAsia="方正黑体简体" w:cs="Times New Roman"/>
          <w:b/>
          <w:bCs w:val="0"/>
          <w:spacing w:val="-6"/>
          <w:sz w:val="32"/>
          <w:szCs w:val="32"/>
        </w:rPr>
        <w:t>一、巡察整改落实情况</w:t>
      </w:r>
    </w:p>
    <w:p>
      <w:pPr>
        <w:spacing w:line="579" w:lineRule="exact"/>
        <w:ind w:firstLine="616"/>
        <w:rPr>
          <w:rFonts w:hint="eastAsia" w:ascii="Times New Roman" w:hAnsi="Times New Roman" w:eastAsia="方正楷体简体" w:cs="Times New Roman"/>
          <w:bCs/>
          <w:spacing w:val="-6"/>
          <w:sz w:val="32"/>
          <w:szCs w:val="32"/>
        </w:rPr>
      </w:pPr>
      <w:r>
        <w:rPr>
          <w:rFonts w:hint="eastAsia" w:ascii="Times New Roman" w:hAnsi="Times New Roman" w:eastAsia="方正楷体简体" w:cs="Times New Roman"/>
          <w:bCs/>
          <w:spacing w:val="-6"/>
          <w:sz w:val="32"/>
          <w:szCs w:val="32"/>
          <w:lang w:eastAsia="zh-CN"/>
        </w:rPr>
        <w:t>（一）关于</w:t>
      </w:r>
      <w:r>
        <w:rPr>
          <w:rFonts w:hint="eastAsia" w:ascii="Times New Roman" w:hAnsi="Times New Roman" w:eastAsia="方正楷体简体" w:cs="Times New Roman"/>
          <w:bCs/>
          <w:spacing w:val="-6"/>
          <w:sz w:val="32"/>
          <w:szCs w:val="32"/>
        </w:rPr>
        <w:t>学习习近平新时代中国特色社会主义思想、贯彻落实乡村振兴战略以及省市工作要求有差距</w:t>
      </w:r>
      <w:r>
        <w:rPr>
          <w:rFonts w:hint="eastAsia" w:ascii="Times New Roman" w:hAnsi="Times New Roman" w:eastAsia="方正楷体简体" w:cs="Times New Roman"/>
          <w:bCs/>
          <w:spacing w:val="-6"/>
          <w:sz w:val="32"/>
          <w:szCs w:val="32"/>
          <w:lang w:eastAsia="zh-CN"/>
        </w:rPr>
        <w:t>的整改落实情况</w:t>
      </w:r>
      <w:r>
        <w:rPr>
          <w:rFonts w:hint="eastAsia" w:ascii="Times New Roman" w:hAnsi="Times New Roman" w:eastAsia="方正楷体简体" w:cs="Times New Roman"/>
          <w:bCs/>
          <w:spacing w:val="-6"/>
          <w:sz w:val="32"/>
          <w:szCs w:val="32"/>
        </w:rPr>
        <w:t>。</w:t>
      </w:r>
    </w:p>
    <w:p>
      <w:pPr>
        <w:ind w:firstLine="616" w:firstLineChars="200"/>
        <w:jc w:val="both"/>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1、在理论学习缺乏针对性和实效性方面。一是提升理论学习整体布置安排。召开党委专题会议，结合镇内各部门工作实际，丰富理论学习内容和形式，列出重点全年学习内容，制定全镇年度学习方案。二是发挥“头雁”领学促学作用。成立党的二十大宣讲团，开展镇领导班子成员带头到村开展理论宣讲23次，要求学习会后开展交流研讨，拓展思维、深化认知，提升学习研讨成效。三是强化政策法规学习与监督。学习贯彻中央新颁布党内规章，由各支部带头学，举办党二十大学习教育培训班3期，每季度开展学习检查，全面将理论学习内容浸润到党员心中。</w:t>
      </w:r>
    </w:p>
    <w:p>
      <w:pPr>
        <w:ind w:firstLine="616" w:firstLineChars="200"/>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2、在贯彻乡村振兴战略中组织领导责任不够到位方面。组织镇班子成员开展相关组织领导工作材料学习，要求强化领导责任，对上级作出的决策部署认真贯彻落实，对上级部门部署的重要任务，要认真学习，仔细研究，精研有效措施做到亲自督办。</w:t>
      </w:r>
    </w:p>
    <w:p>
      <w:pPr>
        <w:pStyle w:val="2"/>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3、在贯彻乡村振兴战略中产业振兴存在短板方面。已推进建设龙王庙镇农业产业产业科技示范园区项目，持续推进草莓、蓝莓农产品精深加工，培育休闲农业、观光农业等新业态融合发展。全面提升“电商+特色农业”精准度，继续壮大设施农业生产规模，发挥蓝莓集中生产优势，努力争创龙王庙镇蓝莓地理标志产品，助推特色农业提质增效。</w:t>
      </w:r>
    </w:p>
    <w:p>
      <w:pPr>
        <w:pStyle w:val="2"/>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4、在落实市委“秸秆禁烧”监管工作不彻底方面。制定秸秆禁烧工作方案，成立工作小组，由党委书记、镇长担任双组长，发放《致全镇人民“秸秆禁烧”一封信》3000余封，要求各村党总支带领村“两委”成员认真总结吸取2020年出现的违反“秸秆禁烧”教训，利用网格化管理模式对镇内重点地块和重点人员进行摸底和排查，形成台账，同时强化日常巡查工作中发现违反“秸秆禁烧的情况第一时间上报镇政府相关部门。</w:t>
      </w:r>
    </w:p>
    <w:p>
      <w:pPr>
        <w:pStyle w:val="2"/>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5、在落实市委社会综合治理工作不够有力方面。强化镇区综合治理重要作用，联系城管及市场部门在每月镇集等大型活动中开展联合执法工作，截止目前已开展联合执法20余次，有效解决了乱占道路经营等问题。</w:t>
      </w:r>
    </w:p>
    <w:p>
      <w:pPr>
        <w:pStyle w:val="2"/>
        <w:rPr>
          <w:rFonts w:hint="default"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6、在落实意识形态工作责任不够到位方面。召开镇意识形态工作部署会议，镇党委书记带头强调意识形态工作重要性，坚持“一把手”带头，切实当好“第一责任人”。出台意识形态工作方案，镇政法部门与公安部门联动，全力排查重点人，强化对“FLG”人员管控，提升全镇党员干部对意识形态工作极端重要性的认识水平。</w:t>
      </w:r>
    </w:p>
    <w:p>
      <w:pPr>
        <w:pStyle w:val="2"/>
        <w:rPr>
          <w:rFonts w:hint="eastAsia" w:ascii="Times New Roman" w:hAnsi="Times New Roman" w:eastAsia="方正楷体简体" w:cs="Times New Roman"/>
          <w:bCs/>
          <w:spacing w:val="-6"/>
          <w:kern w:val="2"/>
          <w:sz w:val="32"/>
          <w:szCs w:val="32"/>
          <w:lang w:val="en-US" w:eastAsia="zh-CN" w:bidi="ar-SA"/>
        </w:rPr>
      </w:pPr>
      <w:r>
        <w:rPr>
          <w:rFonts w:hint="eastAsia" w:ascii="Times New Roman" w:hAnsi="Times New Roman" w:eastAsia="方正楷体简体" w:cs="Times New Roman"/>
          <w:bCs/>
          <w:spacing w:val="-6"/>
          <w:kern w:val="2"/>
          <w:sz w:val="32"/>
          <w:szCs w:val="32"/>
          <w:lang w:val="en-US" w:eastAsia="zh-CN" w:bidi="ar-SA"/>
        </w:rPr>
        <w:t>（二）关于全面从严治党主体责任意识有待增强，“文山”整治不够彻底的整改落实情况</w:t>
      </w:r>
    </w:p>
    <w:p>
      <w:pPr>
        <w:pStyle w:val="2"/>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1、在履行全面从严治党主体责任思想认识有欠缺方面。要求严格落实班子成员“一岗双责"责任,严格执行提醒谈话制度，班子成员按照责任分工对党风廉政建设开展日常工作。目前，已要求班子成员签订“一岗双责”承诺书及廉政承诺书，坚持每季度开展党员干部谈心工作不动摇，提升履行从严治党责任意识。</w:t>
      </w:r>
    </w:p>
    <w:p>
      <w:pPr>
        <w:pStyle w:val="2"/>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2、在履行全面从严治党主体责任的压力传导不到位方面。龙王庙镇纪委认真研究，开展典型违规违纪案例警示教育，已组织观看警示纪录片6次，开展警示教育5次，通过警示教育传递从严治党的决心与压力，要求党员干部洁身自好，保持廉政为民本色。</w:t>
      </w:r>
    </w:p>
    <w:p>
      <w:pPr>
        <w:pStyle w:val="2"/>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3、在镇对“三重一大”规定执行不到位方面。召集班子成员及各村书记召开专项会议，强调加大村级“四议一审两公开”审核力度，全面杜绝会议记录造假行为；持续加强业务培训力度，结合每季度党建工作推进会议，对村干部进行“四议一审两公开”业务培训，进一步明确履行“四议一审两公开”事项、程序，全面提升村干部遵规守纪意识。</w:t>
      </w:r>
    </w:p>
    <w:p>
      <w:pPr>
        <w:pStyle w:val="2"/>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4、对执行民主集中制不严格方面。针对“党委会议记录不规范”情况。已要求今后党委会由组织委员记录，实行专人负责制度。同时强调党委会程序规范2次，全面规范组织程序。</w:t>
      </w:r>
    </w:p>
    <w:p>
      <w:pPr>
        <w:pStyle w:val="2"/>
        <w:rPr>
          <w:rFonts w:hint="eastAsia" w:ascii="仿宋_GB2312" w:hAnsi="仿宋_GB2312" w:eastAsia="仿宋_GB2312" w:cs="仿宋_GB2312"/>
          <w:bCs/>
          <w:spacing w:val="-6"/>
          <w:kern w:val="2"/>
          <w:sz w:val="32"/>
          <w:szCs w:val="32"/>
          <w:lang w:val="en-US" w:eastAsia="zh-CN" w:bidi="ar-SA"/>
        </w:rPr>
      </w:pPr>
      <w:r>
        <w:rPr>
          <w:rFonts w:hint="eastAsia" w:ascii="仿宋_GB2312" w:hAnsi="仿宋_GB2312" w:eastAsia="仿宋_GB2312" w:cs="仿宋_GB2312"/>
          <w:bCs/>
          <w:spacing w:val="-6"/>
          <w:kern w:val="2"/>
          <w:sz w:val="32"/>
          <w:szCs w:val="32"/>
          <w:lang w:val="en-US" w:eastAsia="zh-CN" w:bidi="ar-SA"/>
        </w:rPr>
        <w:t>5、对财经纪律意识淡薄方面。一是会计核算不严格；二是结算流程不规范；三是财务审核把关不严。针对以上问题，首先，加强账务管理，严格预算管理，规范经费支出，要求大额经费支出等重大财经事项须经镇党委会研究决定。其次，规范结算流程，按月对结算工作进行核实，细化经费支出的决策、审批、公开等流程，按照财务有关要求，及时公开公示财务信息。再次，要求平时加强财务工作监管力度，对于各村出现“现金赤字”的财务情况进行整改，现已全部调账。最后，经查，2017年、2018年龙王庙镇三公经费未超预算支出，超出预算部分为各事业单位专项支出，以后将加强会计记账规范化管理。</w:t>
      </w:r>
    </w:p>
    <w:p>
      <w:pPr>
        <w:pStyle w:val="2"/>
        <w:rPr>
          <w:rFonts w:hint="eastAsia" w:ascii="Times New Roman" w:hAnsi="Times New Roman" w:eastAsia="方正楷体简体" w:cs="Times New Roman"/>
          <w:bCs/>
          <w:spacing w:val="-6"/>
          <w:kern w:val="2"/>
          <w:sz w:val="32"/>
          <w:szCs w:val="32"/>
          <w:lang w:val="en-US" w:eastAsia="zh-CN" w:bidi="ar-SA"/>
        </w:rPr>
      </w:pPr>
      <w:r>
        <w:rPr>
          <w:rFonts w:hint="eastAsia" w:ascii="Times New Roman" w:hAnsi="Times New Roman" w:eastAsia="方正楷体简体" w:cs="Times New Roman"/>
          <w:bCs/>
          <w:spacing w:val="-6"/>
          <w:kern w:val="2"/>
          <w:sz w:val="32"/>
          <w:szCs w:val="32"/>
          <w:lang w:val="en-US" w:eastAsia="zh-CN" w:bidi="ar-SA"/>
        </w:rPr>
        <w:t>（三）关于</w:t>
      </w:r>
      <w:r>
        <w:rPr>
          <w:rFonts w:hint="eastAsia" w:ascii="Times New Roman" w:hAnsi="Times New Roman" w:eastAsia="方正楷体简体" w:cs="Times New Roman"/>
          <w:bCs/>
          <w:spacing w:val="-6"/>
          <w:kern w:val="2"/>
          <w:sz w:val="32"/>
          <w:szCs w:val="32"/>
          <w:lang w:val="en-US" w:eastAsia="zh-CN" w:bidi="ar-SA"/>
        </w:rPr>
        <w:t>基层党组织建设仍存在薄弱环节，干部和党员队伍教育不够深入的整改落实情况</w:t>
      </w:r>
    </w:p>
    <w:p>
      <w:pPr>
        <w:spacing w:line="579" w:lineRule="exact"/>
        <w:ind w:firstLine="616"/>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1、对党组织“头雁”作用发挥不充分方面。对于“2020、2021年，村支委会议以及党员大会，均以理论学习为主，没有研究本村经济发展美丽乡村建设以及农民增收方面的议题。”问题，已要求各村党组织结合本村经济发展和美丽乡村建设每半年开展1次理论学习和研讨活动，提升党组织书记通过党建引领乡村振兴作用发挥。</w:t>
      </w:r>
    </w:p>
    <w:p>
      <w:pPr>
        <w:spacing w:line="579" w:lineRule="exact"/>
        <w:ind w:firstLine="616"/>
        <w:rPr>
          <w:rFonts w:hint="eastAsia"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2、对“三会一课”内容质量不高方面。对“2019年以来，全镇8个村的“三会一课”记录中，政治学习口号多、调门高，支部会议次数不足、支委会决策作用缺失、会议签到簿和留存照片造假等现象普遍存在。”问题，要求镇组织办每季度开展党建工作推进会，对各村党务工作者进行再培训，会上要对“三会一课”会议的记录情况进行严格要求， 施行镇村月、季“三会一课”督导检查工作，目前已检查7次，“三会一课”质量与水平有了较大提升。</w:t>
      </w:r>
    </w:p>
    <w:p>
      <w:pPr>
        <w:spacing w:line="579" w:lineRule="exact"/>
        <w:ind w:firstLine="616"/>
        <w:rPr>
          <w:rFonts w:hint="default"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3、对组织生活不重实效方面。针对“个别党总支以抽签形式决定组织生活会上开展相互批评人员，个人发言出现雷同现象，也未开展相互批评。”问题，镇组织办每季度开展对组织生活的跟进监督检查，落实好每季度抽查、每半年全覆盖检查，及时通报检查情况，发现问题立即要求整改，全面保障组织生活严肃性。</w:t>
      </w:r>
    </w:p>
    <w:p>
      <w:pPr>
        <w:spacing w:line="579" w:lineRule="exact"/>
        <w:ind w:firstLine="616"/>
        <w:rPr>
          <w:rFonts w:hint="default" w:ascii="仿宋_GB2312" w:hAnsi="仿宋_GB2312" w:eastAsia="仿宋_GB2312" w:cs="仿宋_GB2312"/>
          <w:bCs/>
          <w:spacing w:val="-6"/>
          <w:sz w:val="32"/>
          <w:szCs w:val="32"/>
          <w:lang w:val="en-US" w:eastAsia="zh-CN"/>
        </w:rPr>
      </w:pPr>
      <w:r>
        <w:rPr>
          <w:rFonts w:hint="eastAsia" w:ascii="仿宋_GB2312" w:hAnsi="仿宋_GB2312" w:eastAsia="仿宋_GB2312" w:cs="仿宋_GB2312"/>
          <w:bCs/>
          <w:spacing w:val="-6"/>
          <w:sz w:val="32"/>
          <w:szCs w:val="32"/>
          <w:lang w:val="en-US" w:eastAsia="zh-CN"/>
        </w:rPr>
        <w:t>4、选人用人工作存在短板。针对“2019年以来，龙王庙镇党委逐年制定的年轻干部培养计划中，培养举措未能体现因人制宜，培养方法与培养对象特点特长匹配度不高，年轻干部梯队建设有差距，机关因干部调离等原因出现的“断档”现象至今未能解决。”的问题，镇党委高度重视，要求镇组织部门建立完善镇内年轻干部档案，增强干部积极性。同时要求镇组织、纪委、团委等部门积极配合好镇党委考察年轻干部，并积极制定年轻干部相关档案、培养计划，目前已为符合要求的年轻干部全部建立《龙王庙镇年轻干部档案》并对镇内年轻干部开展培训4次。</w:t>
      </w:r>
    </w:p>
    <w:p>
      <w:pPr>
        <w:spacing w:line="579" w:lineRule="exact"/>
        <w:ind w:firstLine="616"/>
        <w:rPr>
          <w:rFonts w:ascii="Times New Roman" w:hAnsi="Times New Roman" w:eastAsia="方正黑体简体" w:cs="Times New Roman"/>
          <w:b/>
          <w:bCs w:val="0"/>
          <w:spacing w:val="-6"/>
          <w:sz w:val="32"/>
          <w:szCs w:val="32"/>
        </w:rPr>
      </w:pPr>
      <w:r>
        <w:rPr>
          <w:rFonts w:ascii="Times New Roman" w:hAnsi="Times New Roman" w:eastAsia="方正黑体简体" w:cs="Times New Roman"/>
          <w:b/>
          <w:bCs w:val="0"/>
          <w:spacing w:val="-6"/>
          <w:sz w:val="32"/>
          <w:szCs w:val="32"/>
        </w:rPr>
        <w:t>二、下一步工作打算及计划</w:t>
      </w:r>
    </w:p>
    <w:p>
      <w:pPr>
        <w:spacing w:line="579" w:lineRule="exact"/>
        <w:ind w:firstLine="616"/>
        <w:rPr>
          <w:rFonts w:hint="eastAsia" w:ascii="Times New Roman" w:hAnsi="Times New Roman" w:eastAsia="方正黑体简体" w:cs="Times New Roman"/>
          <w:bCs/>
          <w:spacing w:val="-6"/>
          <w:sz w:val="32"/>
          <w:szCs w:val="32"/>
        </w:rPr>
      </w:pPr>
      <w:r>
        <w:rPr>
          <w:rFonts w:hint="eastAsia" w:ascii="Times New Roman" w:hAnsi="Times New Roman" w:eastAsia="方正黑体简体" w:cs="Times New Roman"/>
          <w:bCs/>
          <w:spacing w:val="-6"/>
          <w:sz w:val="32"/>
          <w:szCs w:val="32"/>
        </w:rPr>
        <w:t>（一）</w:t>
      </w:r>
      <w:r>
        <w:rPr>
          <w:rFonts w:ascii="Times New Roman" w:hAnsi="Times New Roman" w:eastAsia="方正黑体简体" w:cs="Times New Roman"/>
          <w:bCs/>
          <w:spacing w:val="-6"/>
          <w:sz w:val="32"/>
          <w:szCs w:val="32"/>
        </w:rPr>
        <w:t>夯实“两个责任”，</w:t>
      </w:r>
      <w:r>
        <w:rPr>
          <w:rFonts w:hint="eastAsia" w:ascii="Times New Roman" w:hAnsi="Times New Roman" w:eastAsia="方正黑体简体" w:cs="Times New Roman"/>
          <w:bCs/>
          <w:spacing w:val="-6"/>
          <w:sz w:val="32"/>
          <w:szCs w:val="32"/>
          <w:lang w:val="en-US" w:eastAsia="zh-CN"/>
        </w:rPr>
        <w:t>在全面从严治党</w:t>
      </w:r>
      <w:r>
        <w:rPr>
          <w:rFonts w:hint="eastAsia" w:ascii="Times New Roman" w:hAnsi="Times New Roman" w:eastAsia="方正黑体简体" w:cs="Times New Roman"/>
          <w:bCs/>
          <w:spacing w:val="-6"/>
          <w:sz w:val="32"/>
          <w:szCs w:val="32"/>
        </w:rPr>
        <w:t>上持续发力</w:t>
      </w:r>
    </w:p>
    <w:p>
      <w:pPr>
        <w:spacing w:line="579" w:lineRule="exact"/>
        <w:ind w:firstLine="616"/>
        <w:rPr>
          <w:rFonts w:hint="eastAsia" w:ascii="仿宋_GB2312" w:hAnsi="仿宋_GB2312" w:eastAsia="仿宋_GB2312" w:cs="仿宋_GB2312"/>
          <w:bCs/>
          <w:spacing w:val="-6"/>
          <w:sz w:val="32"/>
          <w:szCs w:val="32"/>
          <w:lang w:eastAsia="zh-CN"/>
        </w:rPr>
      </w:pPr>
      <w:r>
        <w:rPr>
          <w:rFonts w:hint="eastAsia" w:ascii="仿宋_GB2312" w:hAnsi="仿宋_GB2312" w:eastAsia="仿宋_GB2312" w:cs="仿宋_GB2312"/>
          <w:bCs/>
          <w:spacing w:val="-6"/>
          <w:sz w:val="32"/>
          <w:szCs w:val="32"/>
          <w:lang w:val="en-US" w:eastAsia="zh-CN"/>
        </w:rPr>
        <w:t>认真履行管党治党主体责任，切实把党风廉政建设和反腐败工作摆在重要位置，严格执行全面从严治党要求，坚持以上率下，抓住“关键少数”，层层压实责任，认真执行“一岗双责”，推动全面从严治党向基层延伸，更好发挥党的领导核心作用，做到真管真严、敢管敢严、长管长严。加大问责力度，坚持“一案双查”，通报典型案例，增强压力传导，始终保持惩治腐败高压态势</w:t>
      </w:r>
      <w:r>
        <w:rPr>
          <w:rFonts w:hint="eastAsia" w:ascii="仿宋_GB2312" w:hAnsi="仿宋_GB2312" w:eastAsia="仿宋_GB2312" w:cs="仿宋_GB2312"/>
          <w:bCs/>
          <w:spacing w:val="-6"/>
          <w:sz w:val="32"/>
          <w:szCs w:val="32"/>
          <w:lang w:eastAsia="zh-CN"/>
        </w:rPr>
        <w:t>。</w:t>
      </w:r>
    </w:p>
    <w:p>
      <w:pPr>
        <w:spacing w:line="579" w:lineRule="exact"/>
        <w:ind w:firstLine="616"/>
        <w:rPr>
          <w:rFonts w:hint="eastAsia" w:ascii="Times New Roman" w:hAnsi="Times New Roman" w:eastAsia="方正黑体简体" w:cs="Times New Roman"/>
          <w:bCs/>
          <w:spacing w:val="-6"/>
          <w:sz w:val="32"/>
          <w:szCs w:val="32"/>
        </w:rPr>
      </w:pPr>
      <w:r>
        <w:rPr>
          <w:rFonts w:hint="eastAsia" w:ascii="Times New Roman" w:hAnsi="Times New Roman" w:eastAsia="方正黑体简体" w:cs="Times New Roman"/>
          <w:bCs/>
          <w:spacing w:val="-6"/>
          <w:sz w:val="32"/>
          <w:szCs w:val="32"/>
          <w:lang w:eastAsia="zh-CN"/>
        </w:rPr>
        <w:t>（</w:t>
      </w:r>
      <w:r>
        <w:rPr>
          <w:rFonts w:hint="eastAsia" w:ascii="Times New Roman" w:hAnsi="Times New Roman" w:eastAsia="方正黑体简体" w:cs="Times New Roman"/>
          <w:bCs/>
          <w:spacing w:val="-6"/>
          <w:sz w:val="32"/>
          <w:szCs w:val="32"/>
          <w:lang w:val="en-US" w:eastAsia="zh-CN"/>
        </w:rPr>
        <w:t>二</w:t>
      </w:r>
      <w:r>
        <w:rPr>
          <w:rFonts w:hint="eastAsia" w:ascii="Times New Roman" w:hAnsi="Times New Roman" w:eastAsia="方正黑体简体" w:cs="Times New Roman"/>
          <w:bCs/>
          <w:spacing w:val="-6"/>
          <w:sz w:val="32"/>
          <w:szCs w:val="32"/>
          <w:lang w:eastAsia="zh-CN"/>
        </w:rPr>
        <w:t>）</w:t>
      </w:r>
      <w:r>
        <w:rPr>
          <w:rFonts w:hint="eastAsia" w:ascii="Times New Roman" w:hAnsi="Times New Roman" w:eastAsia="方正黑体简体" w:cs="Times New Roman"/>
          <w:bCs/>
          <w:spacing w:val="-6"/>
          <w:sz w:val="32"/>
          <w:szCs w:val="32"/>
        </w:rPr>
        <w:t>强化跟踪检查，在提升整改质效上持续发力</w:t>
      </w:r>
    </w:p>
    <w:p>
      <w:pPr>
        <w:spacing w:line="579" w:lineRule="exact"/>
        <w:ind w:firstLine="616"/>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围绕全面完成整改落实工作，坚持目标任务不变、标准要求不降、工作力度不减，持续做好后续整改工作。采取</w:t>
      </w:r>
      <w:r>
        <w:rPr>
          <w:rFonts w:hint="eastAsia" w:ascii="仿宋_GB2312" w:hAnsi="仿宋_GB2312" w:eastAsia="仿宋_GB2312" w:cs="仿宋_GB2312"/>
          <w:bCs/>
          <w:spacing w:val="-6"/>
          <w:sz w:val="32"/>
          <w:szCs w:val="32"/>
          <w:lang w:eastAsia="zh-CN"/>
        </w:rPr>
        <w:t>督导检查、</w:t>
      </w:r>
      <w:r>
        <w:rPr>
          <w:rFonts w:hint="eastAsia" w:ascii="仿宋_GB2312" w:hAnsi="仿宋_GB2312" w:eastAsia="仿宋_GB2312" w:cs="仿宋_GB2312"/>
          <w:bCs/>
          <w:spacing w:val="-6"/>
          <w:sz w:val="32"/>
          <w:szCs w:val="32"/>
        </w:rPr>
        <w:t>专项督查等措施，及时掌握了解整改落实推进情况，确保问题整改到哪里、督促检查就跟进到哪里。针对已经整改到位的事项，适时组织“回头看”，发现问题立即纠正，问题严重的“回炉”返工</w:t>
      </w:r>
      <w:r>
        <w:rPr>
          <w:rFonts w:hint="eastAsia" w:ascii="仿宋_GB2312" w:hAnsi="仿宋_GB2312" w:eastAsia="仿宋_GB2312" w:cs="仿宋_GB2312"/>
          <w:bCs/>
          <w:spacing w:val="-6"/>
          <w:sz w:val="32"/>
          <w:szCs w:val="32"/>
          <w:lang w:eastAsia="zh-CN"/>
        </w:rPr>
        <w:t>，</w:t>
      </w:r>
      <w:r>
        <w:rPr>
          <w:rFonts w:hint="eastAsia" w:ascii="仿宋_GB2312" w:hAnsi="仿宋_GB2312" w:eastAsia="仿宋_GB2312" w:cs="仿宋_GB2312"/>
          <w:bCs/>
          <w:spacing w:val="-6"/>
          <w:sz w:val="32"/>
          <w:szCs w:val="32"/>
        </w:rPr>
        <w:t>确保巡视整改不留尾巴。持续加大查办案件工作力度，坚持问题导向，严查损害群众利益问题的线索。同时，做好整改情况公开工作，自觉接受群众和社会监督，确保整改成效经得起检验推敲。</w:t>
      </w:r>
    </w:p>
    <w:p>
      <w:pPr>
        <w:spacing w:line="579" w:lineRule="exact"/>
        <w:ind w:firstLine="616"/>
        <w:rPr>
          <w:rFonts w:hint="eastAsia" w:ascii="Times New Roman" w:hAnsi="Times New Roman" w:eastAsia="方正黑体简体" w:cs="Times New Roman"/>
          <w:bCs/>
          <w:spacing w:val="-6"/>
          <w:sz w:val="32"/>
          <w:szCs w:val="32"/>
          <w:lang w:eastAsia="zh-CN"/>
        </w:rPr>
      </w:pPr>
      <w:r>
        <w:rPr>
          <w:rFonts w:hint="eastAsia" w:ascii="Times New Roman" w:hAnsi="Times New Roman" w:eastAsia="方正黑体简体" w:cs="Times New Roman"/>
          <w:bCs/>
          <w:spacing w:val="-6"/>
          <w:sz w:val="32"/>
          <w:szCs w:val="32"/>
          <w:lang w:eastAsia="zh-CN"/>
        </w:rPr>
        <w:t>（三）抓好队伍建设，在提高群众满意度上持续发力。</w:t>
      </w:r>
    </w:p>
    <w:p>
      <w:pPr>
        <w:spacing w:line="579" w:lineRule="exact"/>
        <w:ind w:firstLine="616"/>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强化落实“两个责任”，严格执行民主集中制和重大事项集体讨论决定制度，发挥班子的集体领导力，提高民主决策、科学决策、依法决策水平。持续强化党性党规教育，引导广大党员干部自觉牢记党规党纪，自觉按照党员标准规范言行，坚定理想信念，树立崇高道德追求，养成纪律自觉，守住规矩底线。教育引导广大党员干部正确处理好巡察反馈问题整改工作与推动当前工作的关系，坚持以人民为中心，着力围绕服务群众推动当前工作，把巡察工作成效体现在整改落实的具体举措上，体现在实实在在为群众办事的工作成效上，扎实开展党的基层组织建设、精神文明建设、经济建设、民生事业、农村人居环境整治等各项工作。通过整改落实，进一步推进龙王庙镇各项工作，提升群众幸福感、获得感。把巡察整改成果转化为推动事业发展的强劲动力，推进各项快速健康发展。</w:t>
      </w:r>
    </w:p>
    <w:p>
      <w:pPr>
        <w:spacing w:line="579" w:lineRule="exact"/>
        <w:ind w:firstLine="616"/>
        <w:rPr>
          <w:rFonts w:hint="eastAsia" w:ascii="仿宋_GB2312" w:hAnsi="仿宋_GB2312" w:eastAsia="仿宋_GB2312" w:cs="仿宋_GB2312"/>
          <w:bCs/>
          <w:spacing w:val="-6"/>
          <w:sz w:val="32"/>
          <w:szCs w:val="32"/>
        </w:rPr>
      </w:pPr>
      <w:r>
        <w:rPr>
          <w:rFonts w:hint="eastAsia" w:ascii="仿宋_GB2312" w:hAnsi="仿宋_GB2312" w:eastAsia="仿宋_GB2312" w:cs="仿宋_GB2312"/>
          <w:bCs/>
          <w:spacing w:val="-6"/>
          <w:sz w:val="32"/>
          <w:szCs w:val="32"/>
        </w:rPr>
        <w:t>欢迎广大干部群众对巡察整改落实情况进行监督。如有意见建议，请及时向我们反映。联系方式：电话</w:t>
      </w:r>
      <w:r>
        <w:rPr>
          <w:rFonts w:hint="eastAsia" w:ascii="仿宋_GB2312" w:hAnsi="仿宋_GB2312" w:eastAsia="仿宋_GB2312" w:cs="仿宋_GB2312"/>
          <w:bCs/>
          <w:spacing w:val="-6"/>
          <w:sz w:val="32"/>
          <w:szCs w:val="32"/>
          <w:lang w:eastAsia="zh-CN"/>
        </w:rPr>
        <w:t>：</w:t>
      </w:r>
      <w:r>
        <w:rPr>
          <w:rFonts w:hint="eastAsia" w:ascii="仿宋_GB2312" w:hAnsi="仿宋_GB2312" w:eastAsia="仿宋_GB2312" w:cs="仿宋_GB2312"/>
          <w:bCs/>
          <w:spacing w:val="-6"/>
          <w:sz w:val="32"/>
          <w:szCs w:val="32"/>
          <w:lang w:val="en-US" w:eastAsia="zh-CN"/>
        </w:rPr>
        <w:t>7902205</w:t>
      </w:r>
      <w:r>
        <w:rPr>
          <w:rFonts w:hint="eastAsia" w:ascii="仿宋_GB2312" w:hAnsi="仿宋_GB2312" w:eastAsia="仿宋_GB2312" w:cs="仿宋_GB2312"/>
          <w:bCs/>
          <w:spacing w:val="-6"/>
          <w:sz w:val="32"/>
          <w:szCs w:val="32"/>
        </w:rPr>
        <w:t>；邮政信箱</w:t>
      </w:r>
      <w:r>
        <w:rPr>
          <w:rFonts w:hint="eastAsia" w:ascii="仿宋_GB2312" w:hAnsi="仿宋_GB2312" w:eastAsia="仿宋_GB2312" w:cs="仿宋_GB2312"/>
          <w:bCs/>
          <w:spacing w:val="-6"/>
          <w:sz w:val="32"/>
          <w:szCs w:val="32"/>
          <w:lang w:eastAsia="zh-CN"/>
        </w:rPr>
        <w:t>：东港市龙王庙镇龙王庙村三组龙王庙镇人民政府</w:t>
      </w:r>
      <w:r>
        <w:rPr>
          <w:rFonts w:hint="eastAsia" w:ascii="仿宋_GB2312" w:hAnsi="仿宋_GB2312" w:eastAsia="仿宋_GB2312" w:cs="仿宋_GB2312"/>
          <w:bCs/>
          <w:spacing w:val="-6"/>
          <w:sz w:val="32"/>
          <w:szCs w:val="32"/>
        </w:rPr>
        <w:t>。</w:t>
      </w:r>
    </w:p>
    <w:p>
      <w:pPr>
        <w:spacing w:line="579" w:lineRule="exact"/>
        <w:ind w:firstLine="616"/>
        <w:rPr>
          <w:rFonts w:ascii="Times New Roman" w:hAnsi="Times New Roman" w:eastAsia="方正仿宋简体" w:cs="Times New Roman"/>
          <w:bCs/>
          <w:spacing w:val="-6"/>
          <w:sz w:val="32"/>
          <w:szCs w:val="32"/>
        </w:rPr>
      </w:pPr>
    </w:p>
    <w:p>
      <w:pPr>
        <w:spacing w:line="579" w:lineRule="exact"/>
        <w:ind w:firstLine="616"/>
        <w:jc w:val="left"/>
        <w:rPr>
          <w:rFonts w:ascii="Times New Roman" w:hAnsi="Times New Roman" w:eastAsia="方正仿宋简体" w:cs="Times New Roman"/>
          <w:bCs/>
          <w:spacing w:val="-6"/>
          <w:sz w:val="32"/>
          <w:szCs w:val="32"/>
        </w:rPr>
      </w:pPr>
      <w:r>
        <w:rPr>
          <w:rFonts w:ascii="Times New Roman" w:hAnsi="Times New Roman" w:eastAsia="方正仿宋简体" w:cs="Times New Roman"/>
          <w:bCs/>
          <w:spacing w:val="-6"/>
          <w:sz w:val="32"/>
          <w:szCs w:val="32"/>
        </w:rPr>
        <w:t xml:space="preserve">                        </w:t>
      </w:r>
    </w:p>
    <w:p>
      <w:pPr>
        <w:spacing w:line="579" w:lineRule="exact"/>
        <w:ind w:firstLine="4287" w:firstLineChars="1392"/>
        <w:jc w:val="left"/>
        <w:rPr>
          <w:rFonts w:ascii="Times New Roman" w:hAnsi="Times New Roman" w:eastAsia="方正仿宋简体" w:cs="Times New Roman"/>
          <w:bCs/>
          <w:spacing w:val="-6"/>
          <w:sz w:val="32"/>
          <w:szCs w:val="32"/>
        </w:rPr>
      </w:pPr>
    </w:p>
    <w:p>
      <w:pPr>
        <w:spacing w:line="579" w:lineRule="exact"/>
        <w:ind w:firstLine="4287" w:firstLineChars="1392"/>
        <w:jc w:val="left"/>
        <w:rPr>
          <w:rFonts w:ascii="Times New Roman" w:hAnsi="Times New Roman" w:eastAsia="方正仿宋简体" w:cs="Times New Roman"/>
          <w:bCs/>
          <w:spacing w:val="-6"/>
          <w:sz w:val="32"/>
          <w:szCs w:val="32"/>
        </w:rPr>
      </w:pPr>
    </w:p>
    <w:p>
      <w:pPr>
        <w:spacing w:line="579" w:lineRule="exact"/>
        <w:ind w:firstLine="4287" w:firstLineChars="1392"/>
        <w:jc w:val="left"/>
        <w:rPr>
          <w:rFonts w:ascii="Times New Roman" w:hAnsi="Times New Roman" w:eastAsia="方正仿宋简体" w:cs="Times New Roman"/>
          <w:bCs/>
          <w:spacing w:val="-6"/>
          <w:sz w:val="32"/>
          <w:szCs w:val="32"/>
        </w:rPr>
      </w:pPr>
      <w:r>
        <w:rPr>
          <w:rFonts w:ascii="Times New Roman" w:hAnsi="Times New Roman" w:eastAsia="方正仿宋简体" w:cs="Times New Roman"/>
          <w:bCs/>
          <w:spacing w:val="-6"/>
          <w:sz w:val="32"/>
          <w:szCs w:val="32"/>
        </w:rPr>
        <w:t>中共</w:t>
      </w:r>
      <w:r>
        <w:rPr>
          <w:rFonts w:hint="eastAsia" w:ascii="Times New Roman" w:hAnsi="Times New Roman" w:eastAsia="方正仿宋简体" w:cs="Times New Roman"/>
          <w:bCs/>
          <w:spacing w:val="-6"/>
          <w:sz w:val="32"/>
          <w:szCs w:val="32"/>
          <w:lang w:eastAsia="zh-CN"/>
        </w:rPr>
        <w:t>东港市龙王镇委员会</w:t>
      </w:r>
      <w:r>
        <w:rPr>
          <w:rFonts w:ascii="Times New Roman" w:hAnsi="Times New Roman" w:eastAsia="方正仿宋简体" w:cs="Times New Roman"/>
          <w:bCs/>
          <w:spacing w:val="-6"/>
          <w:sz w:val="32"/>
          <w:szCs w:val="32"/>
        </w:rPr>
        <w:t xml:space="preserve">     </w:t>
      </w:r>
    </w:p>
    <w:p>
      <w:pPr>
        <w:spacing w:line="579" w:lineRule="exact"/>
        <w:ind w:firstLine="616"/>
        <w:jc w:val="left"/>
        <w:rPr>
          <w:rFonts w:ascii="Times New Roman" w:hAnsi="Times New Roman" w:eastAsia="方正仿宋简体" w:cs="Times New Roman"/>
          <w:bCs/>
          <w:spacing w:val="-6"/>
          <w:sz w:val="32"/>
          <w:szCs w:val="32"/>
        </w:rPr>
      </w:pPr>
      <w:r>
        <w:rPr>
          <w:rFonts w:ascii="Times New Roman" w:hAnsi="Times New Roman" w:eastAsia="方正仿宋简体" w:cs="Times New Roman"/>
          <w:bCs/>
          <w:spacing w:val="-6"/>
          <w:sz w:val="32"/>
          <w:szCs w:val="32"/>
        </w:rPr>
        <w:t xml:space="preserve">                             </w:t>
      </w:r>
      <w:r>
        <w:rPr>
          <w:rFonts w:hint="eastAsia" w:ascii="Times New Roman" w:hAnsi="Times New Roman" w:eastAsia="方正仿宋简体" w:cs="Times New Roman"/>
          <w:bCs/>
          <w:spacing w:val="-6"/>
          <w:sz w:val="32"/>
          <w:szCs w:val="32"/>
          <w:lang w:val="en-US" w:eastAsia="zh-CN"/>
        </w:rPr>
        <w:t>2023</w:t>
      </w:r>
      <w:r>
        <w:rPr>
          <w:rFonts w:ascii="Times New Roman" w:hAnsi="Times New Roman" w:eastAsia="方正仿宋简体" w:cs="Times New Roman"/>
          <w:bCs/>
          <w:spacing w:val="-6"/>
          <w:sz w:val="32"/>
          <w:szCs w:val="32"/>
        </w:rPr>
        <w:t>年</w:t>
      </w:r>
      <w:r>
        <w:rPr>
          <w:rFonts w:hint="eastAsia" w:ascii="Times New Roman" w:hAnsi="Times New Roman" w:eastAsia="方正仿宋简体" w:cs="Times New Roman"/>
          <w:bCs/>
          <w:spacing w:val="-6"/>
          <w:sz w:val="32"/>
          <w:szCs w:val="32"/>
          <w:lang w:val="en-US" w:eastAsia="zh-CN"/>
        </w:rPr>
        <w:t>6</w:t>
      </w:r>
      <w:r>
        <w:rPr>
          <w:rFonts w:ascii="Times New Roman" w:hAnsi="Times New Roman" w:eastAsia="方正仿宋简体" w:cs="Times New Roman"/>
          <w:bCs/>
          <w:spacing w:val="-6"/>
          <w:sz w:val="32"/>
          <w:szCs w:val="32"/>
        </w:rPr>
        <w:t>月</w:t>
      </w:r>
      <w:r>
        <w:rPr>
          <w:rFonts w:hint="eastAsia" w:ascii="Times New Roman" w:hAnsi="Times New Roman" w:eastAsia="方正仿宋简体" w:cs="Times New Roman"/>
          <w:bCs/>
          <w:spacing w:val="-6"/>
          <w:sz w:val="32"/>
          <w:szCs w:val="32"/>
          <w:lang w:val="en-US" w:eastAsia="zh-CN"/>
        </w:rPr>
        <w:t>30</w:t>
      </w:r>
      <w:r>
        <w:rPr>
          <w:rFonts w:ascii="Times New Roman" w:hAnsi="Times New Roman" w:eastAsia="方正仿宋简体" w:cs="Times New Roman"/>
          <w:bCs/>
          <w:spacing w:val="-6"/>
          <w:sz w:val="32"/>
          <w:szCs w:val="32"/>
        </w:rPr>
        <w:t>日</w:t>
      </w:r>
    </w:p>
    <w:p/>
    <w:sectPr>
      <w:footerReference r:id="rId3" w:type="default"/>
      <w:pgSz w:w="11906" w:h="16838"/>
      <w:pgMar w:top="2211" w:right="1531" w:bottom="1871"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0FB0945B-785A-4E9F-9FA5-371D80CA64AA}"/>
  </w:font>
  <w:font w:name="仿宋_GB2312">
    <w:panose1 w:val="02010609030101010101"/>
    <w:charset w:val="86"/>
    <w:family w:val="modern"/>
    <w:pitch w:val="default"/>
    <w:sig w:usb0="00000001" w:usb1="080E0000" w:usb2="00000000" w:usb3="00000000" w:csb0="00040000" w:csb1="00000000"/>
    <w:embedRegular r:id="rId2" w:fontKey="{38CDCACB-2EB1-4C2A-8B12-BC71778E9E27}"/>
  </w:font>
  <w:font w:name="方正小标宋简体">
    <w:panose1 w:val="02000000000000000000"/>
    <w:charset w:val="86"/>
    <w:family w:val="script"/>
    <w:pitch w:val="default"/>
    <w:sig w:usb0="00000001" w:usb1="08000000" w:usb2="00000000" w:usb3="00000000" w:csb0="00040000" w:csb1="00000000"/>
    <w:embedRegular r:id="rId3" w:fontKey="{FB1D8961-6EB4-4B0C-AAF7-C0F72505D2C8}"/>
  </w:font>
  <w:font w:name="方正仿宋简体">
    <w:panose1 w:val="02000000000000000000"/>
    <w:charset w:val="86"/>
    <w:family w:val="auto"/>
    <w:pitch w:val="default"/>
    <w:sig w:usb0="A00002BF" w:usb1="184F6CFA" w:usb2="00000012" w:usb3="00000000" w:csb0="00040001" w:csb1="00000000"/>
    <w:embedRegular r:id="rId4" w:fontKey="{76FB5DFA-03F6-4103-ACD1-6F62C4EE45C2}"/>
  </w:font>
  <w:font w:name="方正黑体简体">
    <w:altName w:val="微软雅黑"/>
    <w:panose1 w:val="03000509000000000000"/>
    <w:charset w:val="86"/>
    <w:family w:val="script"/>
    <w:pitch w:val="default"/>
    <w:sig w:usb0="00000000" w:usb1="00000000" w:usb2="00000010" w:usb3="00000000" w:csb0="00040000" w:csb1="00000000"/>
    <w:embedRegular r:id="rId5" w:fontKey="{9B720DF7-E5BC-466D-9703-EDF2167D3B8D}"/>
  </w:font>
  <w:font w:name="方正楷体简体">
    <w:altName w:val="宋体"/>
    <w:panose1 w:val="03000509000000000000"/>
    <w:charset w:val="86"/>
    <w:family w:val="script"/>
    <w:pitch w:val="default"/>
    <w:sig w:usb0="00000000" w:usb1="00000000" w:usb2="00000010" w:usb3="00000000" w:csb0="00040000" w:csb1="00000000"/>
    <w:embedRegular r:id="rId6" w:fontKey="{53DE1BCF-3903-4A08-9A00-49FB7FC7AA5B}"/>
  </w:font>
  <w:font w:name="微软雅黑">
    <w:panose1 w:val="020B0503020204020204"/>
    <w:charset w:val="86"/>
    <w:family w:val="auto"/>
    <w:pitch w:val="default"/>
    <w:sig w:usb0="80000287" w:usb1="280F3C52" w:usb2="00000016" w:usb3="00000000" w:csb0="0004001F" w:csb1="00000000"/>
  </w:font>
  <w:font w:name="方正楷体_GB2312">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35977"/>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xNTE0MGE1OTRjOWQzZjZiNjgxODdkNDZlYjQ5MjkifQ=="/>
  </w:docVars>
  <w:rsids>
    <w:rsidRoot w:val="006671E9"/>
    <w:rsid w:val="006671E9"/>
    <w:rsid w:val="007C24FC"/>
    <w:rsid w:val="460B2F10"/>
    <w:rsid w:val="567C4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0正文"/>
    <w:qFormat/>
    <w:uiPriority w:val="0"/>
    <w:pPr>
      <w:widowControl w:val="0"/>
      <w:spacing w:line="360" w:lineRule="auto"/>
      <w:ind w:firstLine="720" w:firstLineChars="200"/>
    </w:pPr>
    <w:rPr>
      <w:rFonts w:ascii="Times New Roman" w:hAnsi="Times New Roman" w:eastAsia="宋体" w:cs="Times New Roman"/>
      <w:sz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141</Words>
  <Characters>805</Characters>
  <Lines>6</Lines>
  <Paragraphs>1</Paragraphs>
  <TotalTime>15</TotalTime>
  <ScaleCrop>false</ScaleCrop>
  <LinksUpToDate>false</LinksUpToDate>
  <CharactersWithSpaces>945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2023-12-07T06:58:00Z</dcterms:created>
  <dc:creator>sunjiwei</dc:creator>
  <cp:lastModifiedBy>否极泰来</cp:lastModifiedBy>
  <dcterms:modified xsi:type="dcterms:W3CDTF">2023-12-08T00:41:10Z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1C2979A1DDC6437B9A65832169BB3EB3_13</vt:lpwstr>
  </property>
</Properties>
</file>