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中共宽</w:t>
      </w:r>
      <w:bookmarkStart w:id="0" w:name="_GoBack"/>
      <w:bookmarkEnd w:id="0"/>
      <w:r>
        <w:rPr>
          <w:rFonts w:hint="eastAsia" w:ascii="方正小标宋简体" w:hAnsi="方正小标宋简体" w:eastAsia="方正小标宋简体" w:cs="方正小标宋简体"/>
          <w:color w:val="auto"/>
          <w:spacing w:val="-11"/>
          <w:sz w:val="44"/>
          <w:szCs w:val="44"/>
          <w:lang w:val="en-US" w:eastAsia="zh-CN"/>
        </w:rPr>
        <w:t>甸县古楼子乡委员会关于丹东市委</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pacing w:val="-11"/>
          <w:sz w:val="44"/>
          <w:szCs w:val="44"/>
          <w:lang w:val="en-US" w:eastAsia="zh-CN"/>
        </w:rPr>
        <w:t>提级巡察整改落实进展情况的通报</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rPr>
        <w:t>根据丹东市委统一部署，2025年4月2日至6月30日，市委第五巡察组对宽甸满族自治县古楼子乡古楼子村开展了提级巡察。2025年9月24日，市委第五巡察组向古楼子村反馈了巡察意见。按照《中国共产党巡视工作条例》有关要求，现将巡察整改情况予以公布。</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黑体" w:hAnsi="黑体" w:eastAsia="黑体" w:cs="黑体"/>
        </w:rPr>
      </w:pPr>
      <w:r>
        <w:rPr>
          <w:rFonts w:hint="eastAsia" w:ascii="黑体" w:hAnsi="黑体" w:eastAsia="黑体" w:cs="黑体"/>
          <w:color w:val="auto"/>
          <w:lang w:val="en-US" w:eastAsia="zh-CN"/>
        </w:rPr>
        <w:t>一、履行巡察整改责任情况</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（一）深化思想认识，强化政治担当</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古楼子乡党委和古楼子村党总支将巡察整改视为重大政治任务，以高度的政治自觉与行动自觉，深入学习贯彻习近平总书记关于巡视工作的重要论述，认真对照巡察反馈意见，把巡察整改作为践行“两个维护”的具体行动。反馈意见下达后，乡党委立即召开专题党委会，古楼子村同步召开村“两委”会议，深入学习领会巡察反馈意见精神，深刻反思存在的问题。乡党委和村党总支对巡察指出的问题诚恳接受、照单全收，坚持问题导向、标本兼治，自觉推动巡察整改落地见效。</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（二）加强组织领导，压实整改责任</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乡党委牵头成立由乡党委书记任组长，党委副书记</w:t>
      </w: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rPr>
        <w:t>乡长任副组长，其他班子成员及古楼子村“两委”成员为成员的巡察整改工作领导小组。乡党委书记</w:t>
      </w:r>
      <w:r>
        <w:rPr>
          <w:rFonts w:hint="eastAsia" w:ascii="Times New Roman" w:hAnsi="Times New Roman" w:eastAsia="仿宋_GB2312" w:cs="Times New Roman"/>
          <w:color w:val="auto"/>
          <w:lang w:eastAsia="zh-CN"/>
        </w:rPr>
        <w:t>切实履行巡察整改第一责任人职责</w:t>
      </w:r>
      <w:r>
        <w:rPr>
          <w:rFonts w:hint="eastAsia" w:ascii="Times New Roman" w:hAnsi="Times New Roman" w:eastAsia="仿宋_GB2312" w:cs="Times New Roman"/>
          <w:color w:val="auto"/>
        </w:rPr>
        <w:t>，层层传导压力，构建了“党委统揽、分级负责、齐抓共管”的整改工作格局。古楼子村每周召开整改工作推进会，确保各项措施落实落细。</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（三）坚持问题导向，逐项整改落实</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严格对照市委巡察组反馈的“问题清单”，逐条深入剖析、深挖问题根源，制定《整改落实方案》，并配套制定“任务清单”“责任清单”。方案共梳理出7个方面、25个具体问题，对应提出78项具体整改措施，逐一明确责任领导、责任部门、责任人以及完成时限，实行台账管理、对账销号。乡党委主要领导和领导小组办公室通过定期调度、现场督查、专题汇报等方式，实时掌握整改进度，协调解决难点问题，坚持把巡察整改与日常工作紧密结合，以整改促发展、促规范、促提升。</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黑体" w:hAnsi="黑体" w:eastAsia="黑体" w:cs="黑体"/>
        </w:rPr>
      </w:pPr>
      <w:r>
        <w:rPr>
          <w:rFonts w:hint="eastAsia" w:ascii="黑体" w:hAnsi="黑体" w:eastAsia="黑体" w:cs="黑体"/>
          <w:color w:val="auto"/>
          <w:lang w:val="en-US" w:eastAsia="zh-CN"/>
        </w:rPr>
        <w:t>二、巡察整改落实情况</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（一）落实习近平总书记强边固防重要论述有差距，增进边民福祉用力不足方面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default" w:ascii="Times New Roman" w:hAnsi="Times New Roman" w:cs="Times New Roman"/>
          <w:color w:val="auto"/>
        </w:rPr>
        <w:t>1.</w:t>
      </w:r>
      <w:r>
        <w:rPr>
          <w:rFonts w:hint="eastAsia" w:ascii="Times New Roman" w:hAnsi="Times New Roman" w:eastAsia="仿宋_GB2312" w:cs="Times New Roman"/>
          <w:b/>
          <w:bCs/>
          <w:color w:val="auto"/>
        </w:rPr>
        <w:t>在履行稳边固边职责不到位方面。</w:t>
      </w:r>
      <w:r>
        <w:rPr>
          <w:rFonts w:hint="eastAsia" w:ascii="黑体" w:hAnsi="黑体" w:eastAsia="黑体" w:cs="黑体"/>
          <w:color w:val="auto"/>
        </w:rPr>
        <w:t>一是</w:t>
      </w:r>
      <w:r>
        <w:rPr>
          <w:rFonts w:hint="eastAsia" w:ascii="Times New Roman" w:hAnsi="Times New Roman" w:eastAsia="仿宋_GB2312" w:cs="Times New Roman"/>
          <w:color w:val="auto"/>
        </w:rPr>
        <w:t>制定《古楼子村2025—2026年边境政策季度宣传计划》，邀请乡边防派出所民警、村干部轮流授课，结合案例讲解《边境管理条例》。</w:t>
      </w:r>
      <w:r>
        <w:rPr>
          <w:rFonts w:hint="eastAsia" w:ascii="黑体" w:hAnsi="黑体" w:eastAsia="黑体" w:cs="黑体"/>
          <w:color w:val="auto"/>
        </w:rPr>
        <w:t>二是</w:t>
      </w:r>
      <w:r>
        <w:rPr>
          <w:rFonts w:hint="eastAsia" w:ascii="Times New Roman" w:hAnsi="Times New Roman" w:eastAsia="仿宋_GB2312" w:cs="Times New Roman"/>
          <w:color w:val="auto"/>
        </w:rPr>
        <w:t>完成《边境地区突发事件处置应急预案》编制，明确暴雨、边境人员误入等场景的响应流程，并报古楼子乡党委备案。</w:t>
      </w:r>
      <w:r>
        <w:rPr>
          <w:rFonts w:hint="eastAsia" w:ascii="黑体" w:hAnsi="黑体" w:eastAsia="黑体" w:cs="黑体"/>
          <w:color w:val="auto"/>
        </w:rPr>
        <w:t>三是</w:t>
      </w:r>
      <w:r>
        <w:rPr>
          <w:rFonts w:hint="eastAsia" w:ascii="Times New Roman" w:hAnsi="Times New Roman" w:eastAsia="仿宋_GB2312" w:cs="Times New Roman"/>
          <w:color w:val="auto"/>
        </w:rPr>
        <w:t>召开村民代表大会修订村规民约，新增“每户每年参与边防宣传不少于2次”“举报边境违规行为可获村级奖励”条款，将边防教育、守土固边内容纳入其中。</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在推动改善边境基础设施建设和边民生产生活条件有差距方面。</w:t>
      </w:r>
      <w:r>
        <w:rPr>
          <w:rFonts w:hint="eastAsia" w:ascii="黑体" w:hAnsi="黑体" w:eastAsia="黑体" w:cs="黑体"/>
          <w:color w:val="auto"/>
        </w:rPr>
        <w:t>一是</w:t>
      </w:r>
      <w:r>
        <w:rPr>
          <w:rFonts w:hint="eastAsia" w:ascii="Times New Roman" w:hAnsi="Times New Roman" w:eastAsia="仿宋_GB2312" w:cs="Times New Roman"/>
          <w:color w:val="auto"/>
        </w:rPr>
        <w:t>完成全村供水情况排查统计，对需要维护的供水基础设施进行整修。</w:t>
      </w:r>
      <w:r>
        <w:rPr>
          <w:rFonts w:hint="eastAsia" w:ascii="黑体" w:hAnsi="黑体" w:eastAsia="黑体" w:cs="黑体"/>
          <w:color w:val="auto"/>
        </w:rPr>
        <w:t>二是</w:t>
      </w:r>
      <w:r>
        <w:rPr>
          <w:rFonts w:hint="eastAsia" w:ascii="Times New Roman" w:hAnsi="Times New Roman" w:eastAsia="仿宋_GB2312" w:cs="Times New Roman"/>
          <w:color w:val="auto"/>
        </w:rPr>
        <w:t>在第3、5、8村民组安装50吨储水罐，冬季停水时长压减至4小时以内，集中供水率提升至60%；如遇其他情况停水，采取水车供水方式，确保村民用水不受影响。</w:t>
      </w:r>
      <w:r>
        <w:rPr>
          <w:rFonts w:hint="eastAsia" w:ascii="黑体" w:hAnsi="黑体" w:eastAsia="黑体" w:cs="黑体"/>
          <w:color w:val="auto"/>
        </w:rPr>
        <w:t>三是</w:t>
      </w:r>
      <w:r>
        <w:rPr>
          <w:rFonts w:hint="eastAsia" w:ascii="Times New Roman" w:hAnsi="Times New Roman" w:eastAsia="仿宋_GB2312" w:cs="Times New Roman"/>
          <w:color w:val="auto"/>
        </w:rPr>
        <w:t>对村民出行需求迫切路段进行平整维护，并将定期平整。</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hAnsi="仿宋" w:cs="华文仿宋"/>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在边民惠民政策落实有差距方面。</w:t>
      </w:r>
      <w:r>
        <w:rPr>
          <w:rFonts w:hint="eastAsia" w:ascii="黑体" w:hAnsi="黑体" w:eastAsia="黑体" w:cs="黑体"/>
          <w:color w:val="auto"/>
        </w:rPr>
        <w:t>一是</w:t>
      </w:r>
      <w:r>
        <w:rPr>
          <w:rFonts w:hint="eastAsia" w:ascii="Times New Roman" w:hAnsi="Times New Roman" w:eastAsia="仿宋_GB2312" w:cs="Times New Roman"/>
          <w:color w:val="auto"/>
        </w:rPr>
        <w:t>对接县财政局，完成2024年边民补助3314人828.5万元</w:t>
      </w:r>
      <w:r>
        <w:rPr>
          <w:rFonts w:hint="eastAsia" w:ascii="Times New Roman" w:hAnsi="Times New Roman" w:eastAsia="仿宋_GB2312" w:cs="Times New Roman"/>
          <w:color w:val="auto"/>
          <w:lang w:eastAsia="zh-CN"/>
        </w:rPr>
        <w:t>的发放工作</w:t>
      </w:r>
      <w:r>
        <w:rPr>
          <w:rFonts w:hint="eastAsia" w:ascii="Times New Roman" w:hAnsi="Times New Roman" w:eastAsia="仿宋_GB2312" w:cs="Times New Roman"/>
          <w:color w:val="auto"/>
        </w:rPr>
        <w:t>；对2021—2023年漏发的9人次2.25万元逐人核实，符合条件的予以补发。</w:t>
      </w:r>
      <w:r>
        <w:rPr>
          <w:rFonts w:hint="eastAsia" w:ascii="黑体" w:hAnsi="黑体" w:eastAsia="黑体" w:cs="黑体"/>
          <w:color w:val="auto"/>
        </w:rPr>
        <w:t>二是</w:t>
      </w:r>
      <w:r>
        <w:rPr>
          <w:rFonts w:hint="eastAsia" w:ascii="Times New Roman" w:hAnsi="Times New Roman" w:eastAsia="仿宋_GB2312" w:cs="Times New Roman"/>
          <w:color w:val="auto"/>
        </w:rPr>
        <w:t>待县财政局拨付相应补贴后，对合计47.51万元公益林补助足额发放到位。</w:t>
      </w:r>
      <w:r>
        <w:rPr>
          <w:rFonts w:hint="eastAsia" w:ascii="黑体" w:hAnsi="黑体" w:eastAsia="黑体" w:cs="黑体"/>
          <w:color w:val="auto"/>
        </w:rPr>
        <w:t>三是</w:t>
      </w:r>
      <w:r>
        <w:rPr>
          <w:rFonts w:hint="eastAsia" w:ascii="Times New Roman" w:hAnsi="Times New Roman" w:eastAsia="仿宋_GB2312" w:cs="Times New Roman"/>
          <w:color w:val="auto"/>
        </w:rPr>
        <w:t>成立专项核查小组，对2019—2024年拖欠的村民组长工资及垃圾清理费合计6.3万元进行全面核实，形成详细台账，通过申请上级补助、盘活村集体闲置资源等方式筹措资金，优先足额发放所欠费用。</w:t>
      </w:r>
      <w:r>
        <w:rPr>
          <w:rFonts w:hint="eastAsia" w:ascii="黑体" w:hAnsi="黑体" w:eastAsia="黑体" w:cs="黑体"/>
          <w:color w:val="auto"/>
        </w:rPr>
        <w:t>四是</w:t>
      </w:r>
      <w:r>
        <w:rPr>
          <w:rFonts w:hint="eastAsia" w:ascii="Times New Roman" w:hAnsi="Times New Roman" w:eastAsia="仿宋_GB2312" w:cs="Times New Roman"/>
          <w:color w:val="auto"/>
        </w:rPr>
        <w:t>制定《救助家庭走访台账》，明确村级协理员每季度10日、25日开展实地走访，记录家庭收入、人员变动等情况，走访记录每月报村务监督委员会审核。</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（二）培育和壮大集体经济思路不宽，特色产业发展不足方面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在带动引领村民发展特色产业统筹谋划和组织协调不力方面。</w:t>
      </w:r>
      <w:r>
        <w:rPr>
          <w:rFonts w:hint="eastAsia" w:ascii="黑体" w:hAnsi="黑体" w:eastAsia="黑体" w:cs="黑体"/>
          <w:color w:val="auto"/>
        </w:rPr>
        <w:t>一是</w:t>
      </w:r>
      <w:r>
        <w:rPr>
          <w:rFonts w:hint="eastAsia" w:ascii="Times New Roman" w:hAnsi="Times New Roman" w:eastAsia="仿宋_GB2312" w:cs="Times New Roman"/>
          <w:color w:val="auto"/>
        </w:rPr>
        <w:t>成立“古楼子村特色农产品合作社”，吸纳蓝莓、板栗种植户200户，逐步构建“村委会+合作社+产业”发展模式。</w:t>
      </w:r>
      <w:r>
        <w:rPr>
          <w:rFonts w:hint="eastAsia" w:ascii="黑体" w:hAnsi="黑体" w:eastAsia="黑体" w:cs="黑体"/>
          <w:color w:val="auto"/>
        </w:rPr>
        <w:t>二是</w:t>
      </w:r>
      <w:r>
        <w:rPr>
          <w:rFonts w:hint="eastAsia" w:ascii="Times New Roman" w:hAnsi="Times New Roman" w:eastAsia="仿宋_GB2312" w:cs="Times New Roman"/>
          <w:color w:val="auto"/>
        </w:rPr>
        <w:t>统一对接丹东市“鲜品汇”“大润发”等商超并签订收购协议，改变村民分散经营、议价能力弱、售价被商贩左右的局面。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在提升产业抗风险能力不强方面。</w:t>
      </w:r>
      <w:r>
        <w:rPr>
          <w:rFonts w:hint="eastAsia" w:ascii="黑体" w:hAnsi="黑体" w:eastAsia="黑体" w:cs="黑体"/>
          <w:color w:val="auto"/>
        </w:rPr>
        <w:t>一是</w:t>
      </w:r>
      <w:r>
        <w:rPr>
          <w:rFonts w:hint="eastAsia" w:ascii="Times New Roman" w:hAnsi="Times New Roman" w:eastAsia="仿宋_GB2312" w:cs="Times New Roman"/>
          <w:color w:val="auto"/>
        </w:rPr>
        <w:t>联系中国人民财产保险宽甸支公司，定制“大棚种植综合保险”，完成50座大棚参保，并逐步向其他大棚推广。</w:t>
      </w:r>
      <w:r>
        <w:rPr>
          <w:rFonts w:hint="eastAsia" w:ascii="黑体" w:hAnsi="黑体" w:eastAsia="黑体" w:cs="黑体"/>
          <w:color w:val="auto"/>
        </w:rPr>
        <w:t>二是</w:t>
      </w:r>
      <w:r>
        <w:rPr>
          <w:rFonts w:hint="eastAsia" w:ascii="Times New Roman" w:hAnsi="Times New Roman" w:eastAsia="仿宋_GB2312" w:cs="Times New Roman"/>
          <w:color w:val="auto"/>
        </w:rPr>
        <w:t>汲取2024年水灾造成826栋大棚受灾、损失2.2876亿元的教训，着力改变917座大棚仅20余座参加商业保险、抵御自然灾害能力薄弱的状况。</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在村集体经济收入来源单一方面。</w:t>
      </w:r>
      <w:r>
        <w:rPr>
          <w:rFonts w:hint="eastAsia" w:ascii="黑体" w:hAnsi="黑体" w:eastAsia="黑体" w:cs="黑体"/>
          <w:color w:val="auto"/>
        </w:rPr>
        <w:t>一是</w:t>
      </w:r>
      <w:r>
        <w:rPr>
          <w:rFonts w:hint="eastAsia" w:ascii="Times New Roman" w:hAnsi="Times New Roman" w:eastAsia="仿宋_GB2312" w:cs="Times New Roman"/>
          <w:color w:val="auto"/>
        </w:rPr>
        <w:t>完成蓝莓产业提升项目调研并试生产，开展蓝莓、板栗深加工。</w:t>
      </w:r>
      <w:r>
        <w:rPr>
          <w:rFonts w:hint="eastAsia" w:ascii="黑体" w:hAnsi="黑体" w:eastAsia="黑体" w:cs="黑体"/>
          <w:color w:val="auto"/>
        </w:rPr>
        <w:t>二是</w:t>
      </w:r>
      <w:r>
        <w:rPr>
          <w:rFonts w:hint="eastAsia" w:ascii="Times New Roman" w:hAnsi="Times New Roman" w:eastAsia="仿宋_GB2312" w:cs="Times New Roman"/>
          <w:color w:val="auto"/>
        </w:rPr>
        <w:t>对接拼多多、抖音本地生活等电商平台拓展线上销售渠道，预计可为村集体年增收5万元。</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（三）土地监管不严格，可持续发展基础不牢方面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在耕地保护意识不强方面。</w:t>
      </w:r>
      <w:r>
        <w:rPr>
          <w:rFonts w:hint="eastAsia" w:ascii="黑体" w:hAnsi="黑体" w:eastAsia="黑体" w:cs="黑体"/>
          <w:color w:val="auto"/>
        </w:rPr>
        <w:t>一是</w:t>
      </w:r>
      <w:r>
        <w:rPr>
          <w:rFonts w:hint="eastAsia" w:ascii="Times New Roman" w:hAnsi="Times New Roman" w:eastAsia="仿宋_GB2312" w:cs="Times New Roman"/>
          <w:color w:val="auto"/>
        </w:rPr>
        <w:t>联系宽甸满族自治县自然资源局，获取本村2712.21亩永久基本农田红线图，在农田边界设置界桩，并在村委会公示图件，组织各组组长、村民代表学习农田保护政策。</w:t>
      </w:r>
      <w:r>
        <w:rPr>
          <w:rFonts w:hint="eastAsia" w:ascii="黑体" w:hAnsi="黑体" w:eastAsia="黑体" w:cs="黑体"/>
          <w:color w:val="auto"/>
        </w:rPr>
        <w:t>二是</w:t>
      </w:r>
      <w:r>
        <w:rPr>
          <w:rFonts w:hint="eastAsia" w:ascii="Times New Roman" w:hAnsi="Times New Roman" w:eastAsia="仿宋_GB2312" w:cs="Times New Roman"/>
          <w:color w:val="auto"/>
        </w:rPr>
        <w:t>逐户排查撂荒地原因，采取“村集体托管+大户承包”模式，对5个村民组撂荒6至12年不等的160亩水田、第9村民组弃种近6年的30余亩旱地进行整改，由村集体统一引入种植大户、签订5年承包协议。</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在土地日常管理缺失方面。</w:t>
      </w:r>
      <w:r>
        <w:rPr>
          <w:rFonts w:hint="eastAsia" w:ascii="黑体" w:hAnsi="黑体" w:eastAsia="黑体" w:cs="黑体"/>
          <w:color w:val="auto"/>
        </w:rPr>
        <w:t>一是</w:t>
      </w:r>
      <w:r>
        <w:rPr>
          <w:rFonts w:hint="eastAsia" w:ascii="Times New Roman" w:hAnsi="Times New Roman" w:eastAsia="仿宋_GB2312" w:cs="Times New Roman"/>
          <w:color w:val="auto"/>
        </w:rPr>
        <w:t>据土地确权数据补建土地管理台账，完成缺失户补建任务；建立“土地纠纷调解台账”及每月5日集中调解机制，推动近三年20余起土地纠纷规范化解。</w:t>
      </w:r>
      <w:r>
        <w:rPr>
          <w:rFonts w:hint="eastAsia" w:ascii="黑体" w:hAnsi="黑体" w:eastAsia="黑体" w:cs="黑体"/>
          <w:color w:val="auto"/>
        </w:rPr>
        <w:t>二是</w:t>
      </w:r>
      <w:r>
        <w:rPr>
          <w:rFonts w:hint="eastAsia" w:ascii="Times New Roman" w:hAnsi="Times New Roman" w:eastAsia="仿宋_GB2312" w:cs="Times New Roman"/>
          <w:color w:val="auto"/>
        </w:rPr>
        <w:t>启动第一、二村民组902.32亩土地确权工作，完成测绘，发放确权证书。</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在设施农业建设管理有缺失方面。</w:t>
      </w:r>
      <w:r>
        <w:rPr>
          <w:rFonts w:hint="eastAsia" w:ascii="黑体" w:hAnsi="黑体" w:eastAsia="黑体" w:cs="黑体"/>
          <w:color w:val="auto"/>
        </w:rPr>
        <w:t>一是</w:t>
      </w:r>
      <w:r>
        <w:rPr>
          <w:rFonts w:hint="eastAsia" w:ascii="Times New Roman" w:hAnsi="Times New Roman" w:eastAsia="仿宋_GB2312" w:cs="Times New Roman"/>
          <w:color w:val="auto"/>
        </w:rPr>
        <w:t>明确温室大棚备案非必要程序，对有备案需求的种植户积极配合完善设施农业用地备案手续；</w:t>
      </w:r>
      <w:r>
        <w:rPr>
          <w:rFonts w:hint="eastAsia" w:ascii="黑体" w:hAnsi="黑体" w:eastAsia="黑体" w:cs="黑体"/>
          <w:color w:val="auto"/>
        </w:rPr>
        <w:t>二是</w:t>
      </w:r>
      <w:r>
        <w:rPr>
          <w:rFonts w:hint="eastAsia" w:ascii="Times New Roman" w:hAnsi="Times New Roman" w:eastAsia="仿宋_GB2312" w:cs="Times New Roman"/>
          <w:color w:val="auto"/>
        </w:rPr>
        <w:t>持续宣传相关政策、引导农户备案。</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（四）基层治理有短板，防范化解风险不到位方面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在矛盾纠纷化解不力方面。</w:t>
      </w:r>
      <w:r>
        <w:rPr>
          <w:rFonts w:hint="eastAsia" w:ascii="黑体" w:hAnsi="黑体" w:eastAsia="黑体" w:cs="黑体"/>
          <w:color w:val="auto"/>
        </w:rPr>
        <w:t>一是</w:t>
      </w:r>
      <w:r>
        <w:rPr>
          <w:rFonts w:hint="eastAsia" w:ascii="Times New Roman" w:hAnsi="Times New Roman" w:eastAsia="仿宋_GB2312" w:cs="Times New Roman"/>
          <w:color w:val="auto"/>
        </w:rPr>
        <w:t>成立“村级信访调解专班”，由村党组织书记任组长，每周3日集中接访，建立“信访问题台账”，明确“接访—分流—调解—反馈”流程，巡察期间收到的40人次54件来信来电来访已化解30件。</w:t>
      </w:r>
      <w:r>
        <w:rPr>
          <w:rFonts w:hint="eastAsia" w:ascii="黑体" w:hAnsi="黑体" w:eastAsia="黑体" w:cs="黑体"/>
          <w:color w:val="auto"/>
        </w:rPr>
        <w:t>二是</w:t>
      </w:r>
      <w:r>
        <w:rPr>
          <w:rFonts w:hint="eastAsia" w:ascii="Times New Roman" w:hAnsi="Times New Roman" w:eastAsia="仿宋_GB2312" w:cs="Times New Roman"/>
          <w:color w:val="auto"/>
        </w:rPr>
        <w:t>更换人民调解委员会成员，重启停滞的村组路硬化工程完工。</w:t>
      </w:r>
      <w:r>
        <w:rPr>
          <w:rFonts w:hint="eastAsia" w:ascii="黑体" w:hAnsi="黑体" w:eastAsia="黑体" w:cs="黑体"/>
          <w:color w:val="auto"/>
        </w:rPr>
        <w:t>三是</w:t>
      </w:r>
      <w:r>
        <w:rPr>
          <w:rFonts w:hint="eastAsia" w:ascii="Times New Roman" w:hAnsi="Times New Roman" w:eastAsia="仿宋_GB2312" w:cs="Times New Roman"/>
          <w:color w:val="auto"/>
        </w:rPr>
        <w:t>对5起长期未纳入台账管理、最长达13年的存量纠纷建立专项台账，联合乡司法所组成调解小组，每月10日、25日集中调解，已化解3起。</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在应急预案和应急响应机制不完善方面。</w:t>
      </w:r>
      <w:r>
        <w:rPr>
          <w:rFonts w:hint="eastAsia" w:ascii="黑体" w:hAnsi="黑体" w:eastAsia="黑体" w:cs="黑体"/>
          <w:color w:val="auto"/>
        </w:rPr>
        <w:t>一是</w:t>
      </w:r>
      <w:r>
        <w:rPr>
          <w:rFonts w:hint="eastAsia" w:ascii="Times New Roman" w:hAnsi="Times New Roman" w:eastAsia="仿宋_GB2312" w:cs="Times New Roman"/>
          <w:color w:val="auto"/>
        </w:rPr>
        <w:t>制定年度演练计划，分别组织防汛演练（模拟山体滑坡）和防火演练</w:t>
      </w:r>
      <w:r>
        <w:rPr>
          <w:rFonts w:hint="eastAsia" w:ascii="Times New Roman" w:hAnsi="Times New Roman" w:eastAsia="仿宋_GB2312" w:cs="Times New Roman"/>
          <w:color w:val="auto"/>
          <w:lang w:eastAsia="zh-CN"/>
        </w:rPr>
        <w:t>，向村民</w:t>
      </w:r>
      <w:r>
        <w:rPr>
          <w:rFonts w:hint="eastAsia" w:ascii="Times New Roman" w:hAnsi="Times New Roman" w:eastAsia="仿宋_GB2312" w:cs="Times New Roman"/>
          <w:color w:val="auto"/>
        </w:rPr>
        <w:t>发放《应急手册》。</w:t>
      </w:r>
      <w:r>
        <w:rPr>
          <w:rFonts w:hint="eastAsia" w:ascii="黑体" w:hAnsi="黑体" w:eastAsia="黑体" w:cs="黑体"/>
          <w:color w:val="auto"/>
        </w:rPr>
        <w:t>二是</w:t>
      </w:r>
      <w:r>
        <w:rPr>
          <w:rFonts w:hint="eastAsia" w:ascii="Times New Roman" w:hAnsi="Times New Roman" w:eastAsia="仿宋_GB2312" w:cs="Times New Roman"/>
          <w:color w:val="auto"/>
        </w:rPr>
        <w:t>联合宽甸满族自治县消防大队，对全村917座大棚开展用电安全检查，督促村民更换老化线路、安装漏电保护器；完成85户燃气设备检查，更换不合格软管30条、阀门15个。</w:t>
      </w:r>
      <w:r>
        <w:rPr>
          <w:rFonts w:hint="eastAsia" w:ascii="黑体" w:hAnsi="黑体" w:eastAsia="黑体" w:cs="黑体"/>
          <w:color w:val="auto"/>
        </w:rPr>
        <w:t>三是</w:t>
      </w:r>
      <w:r>
        <w:rPr>
          <w:rFonts w:hint="eastAsia" w:ascii="Times New Roman" w:hAnsi="Times New Roman" w:eastAsia="仿宋_GB2312" w:cs="Times New Roman"/>
          <w:color w:val="auto"/>
        </w:rPr>
        <w:t>联系宽甸满族自治县交通局，在331国道与房身沟交叉路口安装2块“前方盲区，减速慢行”警示标识，种植低矮灌木消除盲区，每月安排组组长巡查1次。</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在文明乡风建设成效不高方面。</w:t>
      </w:r>
      <w:r>
        <w:rPr>
          <w:rFonts w:hint="eastAsia" w:ascii="黑体" w:hAnsi="黑体" w:eastAsia="黑体" w:cs="黑体"/>
          <w:color w:val="auto"/>
        </w:rPr>
        <w:t>一是</w:t>
      </w:r>
      <w:r>
        <w:rPr>
          <w:rFonts w:hint="eastAsia" w:ascii="Times New Roman" w:hAnsi="Times New Roman" w:eastAsia="仿宋_GB2312" w:cs="Times New Roman"/>
          <w:color w:val="auto"/>
        </w:rPr>
        <w:t>制定《古楼子村文明乡风公约》，明确“婚丧宴席不超过20桌”“禁止大办升学宴”，在全村公示；对村“两委”成员开展纪律教育，签订《廉洁自律承诺书》。</w:t>
      </w:r>
      <w:r>
        <w:rPr>
          <w:rFonts w:hint="eastAsia" w:ascii="黑体" w:hAnsi="黑体" w:eastAsia="黑体" w:cs="黑体"/>
          <w:color w:val="auto"/>
        </w:rPr>
        <w:t>二是</w:t>
      </w:r>
      <w:r>
        <w:rPr>
          <w:rFonts w:hint="eastAsia" w:ascii="Times New Roman" w:hAnsi="Times New Roman" w:eastAsia="仿宋_GB2312" w:cs="Times New Roman"/>
          <w:color w:val="auto"/>
        </w:rPr>
        <w:t>由村党组织书记牵头，联合乡司法所工作人员，对第五村民组因封建迷信思想阻拦道路施工的</w:t>
      </w:r>
      <w:r>
        <w:rPr>
          <w:rFonts w:hint="eastAsia" w:ascii="Times New Roman" w:hAnsi="Times New Roman" w:eastAsia="仿宋_GB2312" w:cs="Times New Roman"/>
          <w:color w:val="auto"/>
          <w:lang w:eastAsia="zh-CN"/>
        </w:rPr>
        <w:t>村民</w:t>
      </w:r>
      <w:r>
        <w:rPr>
          <w:rFonts w:hint="eastAsia" w:ascii="Times New Roman" w:hAnsi="Times New Roman" w:eastAsia="仿宋_GB2312" w:cs="Times New Roman"/>
          <w:color w:val="auto"/>
        </w:rPr>
        <w:t>开展思想教育和普法宣传，重启停滞的150米村组路施工并完工。</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（五）人居环境整治不到位，美丽乡村建设水平不高方面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在环境整治不力方面。</w:t>
      </w:r>
      <w:r>
        <w:rPr>
          <w:rFonts w:hint="eastAsia" w:ascii="黑体" w:hAnsi="黑体" w:eastAsia="黑体" w:cs="黑体"/>
          <w:color w:val="auto"/>
        </w:rPr>
        <w:t>一是</w:t>
      </w:r>
      <w:r>
        <w:rPr>
          <w:rFonts w:hint="eastAsia" w:ascii="Times New Roman" w:hAnsi="Times New Roman" w:eastAsia="仿宋_GB2312" w:cs="Times New Roman"/>
          <w:color w:val="auto"/>
        </w:rPr>
        <w:t>雇佣专业保洁队6人，分3批清理村民乱堆乱占和路边垃圾近百处及烧锅沟等5条沟渠；在第2村民组垃圾堆放区设置25个垃圾桶，与保洁公司签订协议，</w:t>
      </w:r>
      <w:r>
        <w:rPr>
          <w:rFonts w:hint="eastAsia" w:ascii="Times New Roman" w:hAnsi="Times New Roman" w:eastAsia="仿宋_GB2312" w:cs="Times New Roman"/>
          <w:color w:val="auto"/>
          <w:lang w:eastAsia="zh-CN"/>
        </w:rPr>
        <w:t>定期</w:t>
      </w:r>
      <w:r>
        <w:rPr>
          <w:rFonts w:hint="eastAsia" w:ascii="Times New Roman" w:hAnsi="Times New Roman" w:eastAsia="仿宋_GB2312" w:cs="Times New Roman"/>
          <w:color w:val="auto"/>
        </w:rPr>
        <w:t>清运。</w:t>
      </w:r>
      <w:r>
        <w:rPr>
          <w:rFonts w:hint="eastAsia" w:ascii="黑体" w:hAnsi="黑体" w:eastAsia="黑体" w:cs="黑体"/>
          <w:color w:val="auto"/>
        </w:rPr>
        <w:t>二是</w:t>
      </w:r>
      <w:r>
        <w:rPr>
          <w:rFonts w:hint="eastAsia" w:ascii="Times New Roman" w:hAnsi="Times New Roman" w:eastAsia="仿宋_GB2312" w:cs="Times New Roman"/>
          <w:color w:val="auto"/>
        </w:rPr>
        <w:t>实行“组内卫生责任制”，由各组组长负责日常巡查，推动环境管护常态长效。</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hAnsi="仿宋" w:cs="华文仿宋"/>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在河长巡河不到位方面。</w:t>
      </w:r>
      <w:r>
        <w:rPr>
          <w:rFonts w:hint="eastAsia" w:ascii="黑体" w:hAnsi="黑体" w:eastAsia="黑体" w:cs="黑体"/>
          <w:color w:val="auto"/>
        </w:rPr>
        <w:t>一是</w:t>
      </w:r>
      <w:r>
        <w:rPr>
          <w:rFonts w:hint="eastAsia" w:ascii="Times New Roman" w:hAnsi="Times New Roman" w:eastAsia="仿宋_GB2312" w:cs="Times New Roman"/>
          <w:color w:val="auto"/>
        </w:rPr>
        <w:t>明确村级河长（村党组织书记兼任）每周三为固定巡河日，携带《巡河日志》记录水质、垃圾等情况。</w:t>
      </w:r>
      <w:r>
        <w:rPr>
          <w:rFonts w:hint="eastAsia" w:ascii="黑体" w:hAnsi="黑体" w:eastAsia="黑体" w:cs="黑体"/>
          <w:color w:val="auto"/>
        </w:rPr>
        <w:t>二是</w:t>
      </w:r>
      <w:r>
        <w:rPr>
          <w:rFonts w:hint="eastAsia" w:ascii="Times New Roman" w:hAnsi="Times New Roman" w:eastAsia="仿宋_GB2312" w:cs="Times New Roman"/>
          <w:color w:val="auto"/>
        </w:rPr>
        <w:t>对蒲石河等河道30处陈旧垃圾进行集中清理，共清理约200吨。</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在污水和垃圾处置不及时方面。</w:t>
      </w:r>
      <w:r>
        <w:rPr>
          <w:rFonts w:hint="eastAsia" w:ascii="黑体" w:hAnsi="黑体" w:eastAsia="黑体" w:cs="黑体"/>
          <w:color w:val="auto"/>
        </w:rPr>
        <w:t>一</w:t>
      </w:r>
      <w:r>
        <w:rPr>
          <w:rFonts w:hint="eastAsia" w:ascii="黑体" w:hAnsi="黑体" w:eastAsia="黑体" w:cs="黑体"/>
          <w:color w:val="auto"/>
          <w:lang w:eastAsia="zh-CN"/>
        </w:rPr>
        <w:t>是</w:t>
      </w:r>
      <w:r>
        <w:rPr>
          <w:rFonts w:hint="eastAsia" w:ascii="Times New Roman" w:hAnsi="Times New Roman" w:eastAsia="仿宋_GB2312" w:cs="Times New Roman"/>
          <w:color w:val="auto"/>
        </w:rPr>
        <w:t>对接县住建局、小区物业等部门，完成水岸小镇4栋住宅楼化粪池改造，解决污水溢出常年通过管道排入房身沟直至鸭绿江问题。</w:t>
      </w:r>
      <w:r>
        <w:rPr>
          <w:rFonts w:hint="eastAsia" w:ascii="黑体" w:hAnsi="黑体" w:eastAsia="黑体" w:cs="黑体"/>
          <w:color w:val="auto"/>
          <w:lang w:eastAsia="zh-CN"/>
        </w:rPr>
        <w:t>二</w:t>
      </w:r>
      <w:r>
        <w:rPr>
          <w:rFonts w:hint="eastAsia" w:ascii="黑体" w:hAnsi="黑体" w:eastAsia="黑体" w:cs="黑体"/>
          <w:color w:val="auto"/>
        </w:rPr>
        <w:t>是</w:t>
      </w:r>
      <w:r>
        <w:rPr>
          <w:rFonts w:hint="eastAsia" w:ascii="Times New Roman" w:hAnsi="Times New Roman" w:eastAsia="仿宋_GB2312" w:cs="Times New Roman"/>
          <w:color w:val="auto"/>
        </w:rPr>
        <w:t>对棚区周边21处随意堆放的废弃地膜、塑料棚布、棉被等杂物及洪水遗留垃圾进行集中清理、分类处置，确保环境整洁。</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（六）资金资产管理不规范，存在廉政风险隐患方面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hAnsi="仿宋" w:cs="华文仿宋"/>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在警示教育未开展方面。</w:t>
      </w:r>
      <w:r>
        <w:rPr>
          <w:rFonts w:hint="eastAsia" w:ascii="黑体" w:hAnsi="黑体" w:eastAsia="黑体" w:cs="黑体"/>
          <w:color w:val="auto"/>
        </w:rPr>
        <w:t>一是</w:t>
      </w:r>
      <w:r>
        <w:rPr>
          <w:rFonts w:hint="eastAsia" w:ascii="Times New Roman" w:hAnsi="Times New Roman" w:eastAsia="仿宋_GB2312" w:cs="Times New Roman"/>
          <w:color w:val="auto"/>
        </w:rPr>
        <w:t>召开支部党员大会，通报处分</w:t>
      </w:r>
      <w:r>
        <w:rPr>
          <w:rFonts w:hint="eastAsia" w:ascii="Times New Roman" w:hAnsi="Times New Roman" w:eastAsia="仿宋_GB2312" w:cs="Times New Roman"/>
          <w:color w:val="auto"/>
          <w:lang w:eastAsia="zh-CN"/>
        </w:rPr>
        <w:t>决定</w:t>
      </w:r>
      <w:r>
        <w:rPr>
          <w:rFonts w:hint="eastAsia" w:ascii="Times New Roman" w:hAnsi="Times New Roman" w:eastAsia="仿宋_GB2312" w:cs="Times New Roman"/>
          <w:color w:val="auto"/>
        </w:rPr>
        <w:t>，深入剖析违纪根源，切实发挥“查处一案、教育一片”的震慑作用。</w:t>
      </w:r>
      <w:r>
        <w:rPr>
          <w:rFonts w:hint="eastAsia" w:ascii="黑体" w:hAnsi="黑体" w:eastAsia="黑体" w:cs="黑体"/>
          <w:color w:val="auto"/>
        </w:rPr>
        <w:t>二是</w:t>
      </w:r>
      <w:r>
        <w:rPr>
          <w:rFonts w:hint="eastAsia" w:ascii="Times New Roman" w:hAnsi="Times New Roman" w:eastAsia="仿宋_GB2312" w:cs="Times New Roman"/>
          <w:color w:val="auto"/>
        </w:rPr>
        <w:t>组织党员学习《中国共产党纪律处分条例》，每季度开展1次廉政警示教育。</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w:t>
      </w:r>
      <w:r>
        <w:rPr>
          <w:rFonts w:hint="eastAsia" w:ascii="Times New Roman" w:hAnsi="Times New Roman" w:eastAsia="仿宋_GB2312" w:cs="Times New Roman"/>
          <w:b/>
          <w:bCs/>
          <w:color w:val="auto"/>
          <w:lang w:eastAsia="zh-CN"/>
        </w:rPr>
        <w:t>履行</w:t>
      </w:r>
      <w:r>
        <w:rPr>
          <w:rFonts w:hint="eastAsia" w:ascii="Times New Roman" w:hAnsi="Times New Roman" w:eastAsia="仿宋_GB2312" w:cs="Times New Roman"/>
          <w:b/>
          <w:bCs/>
          <w:color w:val="auto"/>
        </w:rPr>
        <w:t>工程发包程序方面。</w:t>
      </w:r>
      <w:r>
        <w:rPr>
          <w:rFonts w:hint="eastAsia" w:ascii="黑体" w:hAnsi="黑体" w:eastAsia="黑体" w:cs="黑体"/>
          <w:color w:val="auto"/>
        </w:rPr>
        <w:t>一是</w:t>
      </w:r>
      <w:r>
        <w:rPr>
          <w:rFonts w:hint="eastAsia" w:ascii="Times New Roman" w:hAnsi="Times New Roman" w:eastAsia="仿宋_GB2312" w:cs="Times New Roman"/>
          <w:color w:val="auto"/>
        </w:rPr>
        <w:t>制定《村级工程发包管理办法》，明确5万元以上项目需公开发包。</w:t>
      </w:r>
      <w:r>
        <w:rPr>
          <w:rFonts w:hint="eastAsia" w:ascii="黑体" w:hAnsi="黑体" w:eastAsia="黑体" w:cs="黑体"/>
          <w:color w:val="auto"/>
        </w:rPr>
        <w:t>二是</w:t>
      </w:r>
      <w:r>
        <w:rPr>
          <w:rFonts w:hint="eastAsia" w:ascii="Times New Roman" w:hAnsi="Times New Roman" w:eastAsia="仿宋_GB2312" w:cs="Times New Roman"/>
          <w:color w:val="auto"/>
        </w:rPr>
        <w:t>补签2022年1月购买修路用水泥管7.8万元采购合同。</w:t>
      </w:r>
      <w:r>
        <w:rPr>
          <w:rFonts w:hint="eastAsia" w:ascii="黑体" w:hAnsi="黑体" w:eastAsia="黑体" w:cs="黑体"/>
          <w:color w:val="auto"/>
        </w:rPr>
        <w:t>三是</w:t>
      </w:r>
      <w:r>
        <w:rPr>
          <w:rFonts w:hint="eastAsia" w:ascii="Times New Roman" w:hAnsi="Times New Roman" w:eastAsia="仿宋_GB2312" w:cs="Times New Roman"/>
          <w:color w:val="auto"/>
        </w:rPr>
        <w:t>组织村监会对2022年、2023年东</w:t>
      </w:r>
      <w:r>
        <w:rPr>
          <w:rFonts w:hint="eastAsia" w:ascii="Times New Roman" w:hAnsi="Times New Roman" w:eastAsia="仿宋_GB2312" w:cs="Times New Roman"/>
          <w:color w:val="auto"/>
          <w:lang w:val="en-US" w:eastAsia="zh-CN"/>
        </w:rPr>
        <w:t>甸</w:t>
      </w:r>
      <w:r>
        <w:rPr>
          <w:rFonts w:hint="eastAsia" w:ascii="Times New Roman" w:hAnsi="Times New Roman" w:eastAsia="仿宋_GB2312" w:cs="Times New Roman"/>
          <w:color w:val="auto"/>
        </w:rPr>
        <w:t>子大棚垫方21.57万元工程进行验收，补全验收资料，后续工程严格按办法执行。</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w:t>
      </w:r>
      <w:r>
        <w:rPr>
          <w:rFonts w:hint="eastAsia" w:ascii="Times New Roman" w:hAnsi="Times New Roman" w:eastAsia="仿宋_GB2312" w:cs="Times New Roman"/>
          <w:b/>
          <w:bCs/>
          <w:color w:val="auto"/>
          <w:lang w:eastAsia="zh-CN"/>
        </w:rPr>
        <w:t>规范</w:t>
      </w:r>
      <w:r>
        <w:rPr>
          <w:rFonts w:hint="eastAsia" w:ascii="Times New Roman" w:hAnsi="Times New Roman" w:eastAsia="仿宋_GB2312" w:cs="Times New Roman"/>
          <w:b/>
          <w:bCs/>
          <w:color w:val="auto"/>
        </w:rPr>
        <w:t>资金管理方面。</w:t>
      </w:r>
      <w:r>
        <w:rPr>
          <w:rFonts w:hint="eastAsia" w:ascii="黑体" w:hAnsi="黑体" w:eastAsia="黑体" w:cs="黑体"/>
          <w:color w:val="auto"/>
        </w:rPr>
        <w:t>一是</w:t>
      </w:r>
      <w:r>
        <w:rPr>
          <w:rFonts w:hint="eastAsia" w:ascii="Times New Roman" w:hAnsi="Times New Roman" w:eastAsia="仿宋_GB2312" w:cs="Times New Roman"/>
          <w:color w:val="auto"/>
        </w:rPr>
        <w:t>通过“大数据比对+入户核实”追缴</w:t>
      </w:r>
      <w:r>
        <w:rPr>
          <w:rFonts w:hint="eastAsia" w:ascii="Times New Roman" w:hAnsi="Times New Roman" w:eastAsia="仿宋_GB2312" w:cs="Times New Roman"/>
          <w:color w:val="auto"/>
          <w:lang w:eastAsia="zh-CN"/>
        </w:rPr>
        <w:t>冒领的</w:t>
      </w:r>
      <w:r>
        <w:rPr>
          <w:rFonts w:hint="eastAsia" w:ascii="Times New Roman" w:hAnsi="Times New Roman" w:eastAsia="仿宋_GB2312" w:cs="Times New Roman"/>
          <w:color w:val="auto"/>
        </w:rPr>
        <w:t>边民补助，拒不退回的通过法律途径解决。</w:t>
      </w:r>
      <w:r>
        <w:rPr>
          <w:rFonts w:hint="eastAsia" w:ascii="黑体" w:hAnsi="黑体" w:eastAsia="黑体" w:cs="黑体"/>
          <w:color w:val="auto"/>
        </w:rPr>
        <w:t>二是</w:t>
      </w:r>
      <w:r>
        <w:rPr>
          <w:rFonts w:hint="eastAsia" w:ascii="Times New Roman" w:hAnsi="Times New Roman" w:eastAsia="仿宋_GB2312" w:cs="Times New Roman"/>
          <w:color w:val="auto"/>
        </w:rPr>
        <w:t>对家庭收入超出低保标准的3户办理退保手续。</w:t>
      </w:r>
      <w:r>
        <w:rPr>
          <w:rFonts w:hint="eastAsia" w:ascii="黑体" w:hAnsi="黑体" w:eastAsia="黑体" w:cs="黑体"/>
          <w:color w:val="auto"/>
        </w:rPr>
        <w:t>三是</w:t>
      </w:r>
      <w:r>
        <w:rPr>
          <w:rFonts w:hint="eastAsia" w:ascii="Times New Roman" w:hAnsi="Times New Roman" w:eastAsia="仿宋_GB2312" w:cs="Times New Roman"/>
          <w:color w:val="auto"/>
        </w:rPr>
        <w:t>建立《误工费管理台账》，明确发放需经“申请—核实—村‘两委’会议讨论—公示”流程。</w:t>
      </w:r>
      <w:r>
        <w:rPr>
          <w:rFonts w:hint="eastAsia" w:ascii="黑体" w:hAnsi="黑体" w:eastAsia="黑体" w:cs="黑体"/>
          <w:color w:val="auto"/>
        </w:rPr>
        <w:t>四是</w:t>
      </w:r>
      <w:r>
        <w:rPr>
          <w:rFonts w:hint="eastAsia" w:ascii="Times New Roman" w:hAnsi="Times New Roman" w:eastAsia="仿宋_GB2312" w:cs="Times New Roman"/>
          <w:color w:val="auto"/>
        </w:rPr>
        <w:t>建立债权债务管理长效机制，规范交接流程，定期核对清理。</w:t>
      </w:r>
      <w:r>
        <w:rPr>
          <w:rFonts w:hint="eastAsia" w:ascii="黑体" w:hAnsi="黑体" w:eastAsia="黑体" w:cs="黑体"/>
          <w:color w:val="auto"/>
        </w:rPr>
        <w:t>五是</w:t>
      </w:r>
      <w:r>
        <w:rPr>
          <w:rFonts w:hint="eastAsia" w:ascii="Times New Roman" w:hAnsi="Times New Roman" w:eastAsia="仿宋_GB2312" w:cs="Times New Roman"/>
          <w:color w:val="auto"/>
        </w:rPr>
        <w:t>联系古楼子乡经管站调取2004年村账镇管交接资料，走访老村干部核实债权债务原因，联系银行补打2022年以来4次支付占地补偿款、租赁费等转账业务75.87万元的银行交易回单并整理归档。</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4.</w:t>
      </w:r>
      <w:r>
        <w:rPr>
          <w:rFonts w:hint="eastAsia" w:ascii="Times New Roman" w:hAnsi="Times New Roman" w:eastAsia="仿宋_GB2312" w:cs="Times New Roman"/>
          <w:b/>
          <w:bCs/>
          <w:color w:val="auto"/>
        </w:rPr>
        <w:t>在资产</w:t>
      </w:r>
      <w:r>
        <w:rPr>
          <w:rFonts w:hint="eastAsia" w:ascii="Times New Roman" w:hAnsi="Times New Roman" w:eastAsia="仿宋_GB2312" w:cs="Times New Roman"/>
          <w:b/>
          <w:bCs/>
          <w:color w:val="auto"/>
          <w:lang w:eastAsia="zh-CN"/>
        </w:rPr>
        <w:t>监督管理</w:t>
      </w:r>
      <w:r>
        <w:rPr>
          <w:rFonts w:hint="eastAsia" w:ascii="Times New Roman" w:hAnsi="Times New Roman" w:eastAsia="仿宋_GB2312" w:cs="Times New Roman"/>
          <w:b/>
          <w:bCs/>
          <w:color w:val="auto"/>
        </w:rPr>
        <w:t>方面。</w:t>
      </w:r>
      <w:r>
        <w:rPr>
          <w:rFonts w:hint="eastAsia" w:ascii="黑体" w:hAnsi="黑体" w:eastAsia="黑体" w:cs="黑体"/>
          <w:color w:val="auto"/>
        </w:rPr>
        <w:t>一是</w:t>
      </w:r>
      <w:r>
        <w:rPr>
          <w:rFonts w:hint="eastAsia" w:ascii="Times New Roman" w:hAnsi="Times New Roman" w:eastAsia="仿宋_GB2312" w:cs="Times New Roman"/>
          <w:color w:val="auto"/>
        </w:rPr>
        <w:t>联系9个大棚承租方，补签两次降租的补充协议、明确租金标准及支付方式并续签合同，三方签字盖章。</w:t>
      </w:r>
      <w:r>
        <w:rPr>
          <w:rFonts w:hint="eastAsia" w:ascii="黑体" w:hAnsi="黑体" w:eastAsia="黑体" w:cs="黑体"/>
          <w:color w:val="auto"/>
        </w:rPr>
        <w:t>二是</w:t>
      </w:r>
      <w:r>
        <w:rPr>
          <w:rFonts w:hint="eastAsia" w:ascii="Times New Roman" w:hAnsi="Times New Roman" w:eastAsia="仿宋_GB2312" w:cs="Times New Roman"/>
          <w:color w:val="auto"/>
        </w:rPr>
        <w:t>对电脑、桌椅、复印机等193件固定资产开展全面盘点，登记《固定资产台账》，录入“三资”管理系统。</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5.</w:t>
      </w:r>
      <w:r>
        <w:rPr>
          <w:rFonts w:hint="eastAsia" w:ascii="Times New Roman" w:hAnsi="Times New Roman" w:eastAsia="仿宋_GB2312" w:cs="Times New Roman"/>
          <w:b/>
          <w:bCs/>
          <w:color w:val="auto"/>
        </w:rPr>
        <w:t>在履行民主议定和公开程序不严格方面。</w:t>
      </w:r>
      <w:r>
        <w:rPr>
          <w:rFonts w:hint="eastAsia" w:ascii="黑体" w:hAnsi="黑体" w:eastAsia="黑体" w:cs="黑体"/>
          <w:color w:val="auto"/>
        </w:rPr>
        <w:t>一是</w:t>
      </w:r>
      <w:r>
        <w:rPr>
          <w:rFonts w:hint="eastAsia" w:ascii="Times New Roman" w:hAnsi="Times New Roman" w:eastAsia="仿宋_GB2312" w:cs="Times New Roman"/>
          <w:color w:val="auto"/>
        </w:rPr>
        <w:t>公开2024年财务预算及资金资产变动情况。</w:t>
      </w:r>
      <w:r>
        <w:rPr>
          <w:rFonts w:hint="eastAsia" w:ascii="黑体" w:hAnsi="黑体" w:eastAsia="黑体" w:cs="黑体"/>
          <w:color w:val="auto"/>
        </w:rPr>
        <w:t>二是</w:t>
      </w:r>
      <w:r>
        <w:rPr>
          <w:rFonts w:hint="eastAsia" w:ascii="Times New Roman" w:hAnsi="Times New Roman" w:eastAsia="仿宋_GB2312" w:cs="Times New Roman"/>
          <w:color w:val="auto"/>
        </w:rPr>
        <w:t>对2022—2024年集体公益建设、收益分配等6次未履行“四议一审两公开”程序的村级重大事项补走流程，后续村级重大事项严格按程序执行。</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（七）党建引领作用不充分，队伍建设有短板方面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在“两委”班子领导力不强方面。</w:t>
      </w:r>
      <w:r>
        <w:rPr>
          <w:rFonts w:hint="eastAsia" w:ascii="黑体" w:hAnsi="黑体" w:eastAsia="黑体" w:cs="黑体"/>
          <w:color w:val="auto"/>
        </w:rPr>
        <w:t>一是</w:t>
      </w:r>
      <w:r>
        <w:rPr>
          <w:rFonts w:hint="eastAsia" w:ascii="Times New Roman" w:hAnsi="Times New Roman" w:eastAsia="仿宋_GB2312" w:cs="Times New Roman"/>
          <w:color w:val="auto"/>
        </w:rPr>
        <w:t>制定《村级物资发放管理办法》，明确“灾款灾物发放需公示名单、标准，由村民代表现场监督”。</w:t>
      </w:r>
      <w:r>
        <w:rPr>
          <w:rFonts w:hint="eastAsia" w:ascii="黑体" w:hAnsi="黑体" w:eastAsia="黑体" w:cs="黑体"/>
          <w:color w:val="auto"/>
        </w:rPr>
        <w:t>二是</w:t>
      </w:r>
      <w:r>
        <w:rPr>
          <w:rFonts w:hint="eastAsia" w:ascii="Times New Roman" w:hAnsi="Times New Roman" w:eastAsia="仿宋_GB2312" w:cs="Times New Roman"/>
          <w:color w:val="auto"/>
        </w:rPr>
        <w:t>对2024年水灾分散转移费发放混乱、集中和分散安置农民补助标准不一引发上访，以及2025年4月为受灾村民发放化肥因组织不力秩序混乱、发放不均问题开展复盘，向村民公示整改结果。</w:t>
      </w:r>
      <w:r>
        <w:rPr>
          <w:rFonts w:hint="eastAsia" w:ascii="黑体" w:hAnsi="黑体" w:eastAsia="黑体" w:cs="黑体"/>
          <w:color w:val="auto"/>
        </w:rPr>
        <w:t>三是</w:t>
      </w:r>
      <w:r>
        <w:rPr>
          <w:rFonts w:hint="eastAsia" w:ascii="Times New Roman" w:hAnsi="Times New Roman" w:eastAsia="仿宋_GB2312" w:cs="Times New Roman"/>
          <w:color w:val="auto"/>
        </w:rPr>
        <w:t>每月召开1次村“两委”班子务虚会，学习乡村治理先进经验，提升统筹协调能力，建立“物资发放事前公示、事中监督、事后审计”机制。</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在基层党组织凝聚力不强方面。</w:t>
      </w:r>
      <w:r>
        <w:rPr>
          <w:rFonts w:hint="eastAsia" w:ascii="黑体" w:hAnsi="黑体" w:eastAsia="黑体" w:cs="黑体"/>
          <w:color w:val="auto"/>
        </w:rPr>
        <w:t>一是</w:t>
      </w:r>
      <w:r>
        <w:rPr>
          <w:rFonts w:hint="eastAsia" w:ascii="Times New Roman" w:hAnsi="Times New Roman" w:eastAsia="仿宋_GB2312" w:cs="Times New Roman"/>
          <w:color w:val="auto"/>
        </w:rPr>
        <w:t>党小组每月召开1次会议。</w:t>
      </w:r>
      <w:r>
        <w:rPr>
          <w:rFonts w:hint="eastAsia" w:ascii="黑体" w:hAnsi="黑体" w:eastAsia="黑体" w:cs="黑体"/>
          <w:color w:val="auto"/>
        </w:rPr>
        <w:t>二是</w:t>
      </w:r>
      <w:r>
        <w:rPr>
          <w:rFonts w:hint="eastAsia" w:ascii="Times New Roman" w:hAnsi="Times New Roman" w:eastAsia="仿宋_GB2312" w:cs="Times New Roman"/>
          <w:color w:val="auto"/>
        </w:rPr>
        <w:t>3个党支部每季度开展1次党课、每月开展1次主题党日活动，并召开1次组织生活会。</w:t>
      </w:r>
      <w:r>
        <w:rPr>
          <w:rFonts w:hint="eastAsia" w:ascii="黑体" w:hAnsi="黑体" w:eastAsia="黑体" w:cs="黑体"/>
          <w:color w:val="auto"/>
        </w:rPr>
        <w:t>三是</w:t>
      </w:r>
      <w:r>
        <w:rPr>
          <w:rFonts w:hint="eastAsia" w:ascii="Times New Roman" w:hAnsi="Times New Roman" w:eastAsia="仿宋_GB2312" w:cs="Times New Roman"/>
          <w:color w:val="auto"/>
        </w:rPr>
        <w:t>每月收集党员意见，结合时节特点设计党日活动，涵盖理论学习、志愿服务等形式。</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在党员管理有漏洞方面。</w:t>
      </w:r>
      <w:r>
        <w:rPr>
          <w:rFonts w:hint="eastAsia" w:ascii="黑体" w:hAnsi="黑体" w:eastAsia="黑体" w:cs="黑体"/>
          <w:color w:val="auto"/>
        </w:rPr>
        <w:t>一是</w:t>
      </w:r>
      <w:r>
        <w:rPr>
          <w:rFonts w:hint="eastAsia" w:ascii="Times New Roman" w:hAnsi="Times New Roman" w:eastAsia="仿宋_GB2312" w:cs="Times New Roman"/>
          <w:color w:val="auto"/>
        </w:rPr>
        <w:t>督促退休党员补缴党费。</w:t>
      </w:r>
      <w:r>
        <w:rPr>
          <w:rFonts w:hint="eastAsia" w:ascii="黑体" w:hAnsi="黑体" w:eastAsia="黑体" w:cs="黑体"/>
          <w:color w:val="auto"/>
        </w:rPr>
        <w:t>二是</w:t>
      </w:r>
      <w:r>
        <w:rPr>
          <w:rFonts w:hint="eastAsia" w:ascii="Times New Roman" w:hAnsi="Times New Roman" w:eastAsia="仿宋_GB2312" w:cs="Times New Roman"/>
          <w:color w:val="auto"/>
        </w:rPr>
        <w:t>建立“党员党费缴纳台账”，每月5日提醒党员缴费，并启动党建积分管理，设置“学习、服务、奉献”等积分项目，季度公示排名。</w:t>
      </w:r>
      <w:r>
        <w:rPr>
          <w:rFonts w:hint="eastAsia" w:ascii="黑体" w:hAnsi="黑体" w:eastAsia="黑体" w:cs="黑体"/>
          <w:color w:val="auto"/>
        </w:rPr>
        <w:t>三是</w:t>
      </w:r>
      <w:r>
        <w:rPr>
          <w:rFonts w:hint="eastAsia" w:ascii="Times New Roman" w:hAnsi="Times New Roman" w:eastAsia="仿宋_GB2312" w:cs="Times New Roman"/>
          <w:color w:val="auto"/>
        </w:rPr>
        <w:t>设立5个党员先锋岗，组建20人党群志愿服务队，每月开展1次助老、政策宣传等志愿服务。</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4.</w:t>
      </w:r>
      <w:r>
        <w:rPr>
          <w:rFonts w:hint="eastAsia" w:ascii="Times New Roman" w:hAnsi="Times New Roman" w:eastAsia="仿宋_GB2312" w:cs="Times New Roman"/>
          <w:b/>
          <w:bCs/>
          <w:color w:val="auto"/>
        </w:rPr>
        <w:t>在后备干部培养有短板方面。</w:t>
      </w:r>
      <w:r>
        <w:rPr>
          <w:rFonts w:hint="eastAsia" w:ascii="黑体" w:hAnsi="黑体" w:eastAsia="黑体" w:cs="黑体"/>
          <w:color w:val="auto"/>
        </w:rPr>
        <w:t>一是</w:t>
      </w:r>
      <w:r>
        <w:rPr>
          <w:rFonts w:hint="eastAsia" w:ascii="Times New Roman" w:hAnsi="Times New Roman" w:eastAsia="仿宋_GB2312" w:cs="Times New Roman"/>
          <w:color w:val="auto"/>
        </w:rPr>
        <w:t>选拔3名后备干部，安排参与土地确权、纠纷调解、产业发展等重点工作，在服务群众实践中锻炼成长。</w:t>
      </w:r>
      <w:r>
        <w:rPr>
          <w:rFonts w:hint="eastAsia" w:ascii="黑体" w:hAnsi="黑体" w:eastAsia="黑体" w:cs="黑体"/>
          <w:color w:val="auto"/>
        </w:rPr>
        <w:t>二是</w:t>
      </w:r>
      <w:r>
        <w:rPr>
          <w:rFonts w:hint="eastAsia" w:ascii="Times New Roman" w:hAnsi="Times New Roman" w:eastAsia="仿宋_GB2312" w:cs="Times New Roman"/>
          <w:color w:val="auto"/>
        </w:rPr>
        <w:t>建立“传帮带”机制，每月开展1次谈心谈话。</w:t>
      </w:r>
      <w:r>
        <w:rPr>
          <w:rFonts w:hint="eastAsia" w:ascii="黑体" w:hAnsi="黑体" w:eastAsia="黑体" w:cs="黑体"/>
          <w:color w:val="auto"/>
        </w:rPr>
        <w:t>三是</w:t>
      </w:r>
      <w:r>
        <w:rPr>
          <w:rFonts w:hint="eastAsia" w:ascii="Times New Roman" w:hAnsi="Times New Roman" w:eastAsia="仿宋_GB2312" w:cs="Times New Roman"/>
          <w:color w:val="auto"/>
        </w:rPr>
        <w:t>为后备干部建立成长档案，记录工作表现、培训情况，每季度开展1次考核，考核结果作为提拔任用的重要依据。</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（八）巡察反馈意见建议落实方面</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1.</w:t>
      </w:r>
      <w:r>
        <w:rPr>
          <w:rFonts w:hint="eastAsia" w:ascii="Times New Roman" w:hAnsi="Times New Roman" w:eastAsia="仿宋_GB2312" w:cs="Times New Roman"/>
          <w:b/>
          <w:bCs/>
          <w:color w:val="auto"/>
        </w:rPr>
        <w:t>在统筹安全与民生、培育特色主导产业方面。</w:t>
      </w:r>
      <w:r>
        <w:rPr>
          <w:rFonts w:hint="eastAsia" w:ascii="黑体" w:hAnsi="黑体" w:eastAsia="黑体" w:cs="黑体"/>
          <w:color w:val="auto"/>
        </w:rPr>
        <w:t>一是</w:t>
      </w:r>
      <w:r>
        <w:rPr>
          <w:rFonts w:hint="eastAsia" w:ascii="Times New Roman" w:hAnsi="Times New Roman" w:eastAsia="仿宋_GB2312" w:cs="Times New Roman"/>
          <w:color w:val="auto"/>
        </w:rPr>
        <w:t>每月组织村“两委”班子、党员学习党的二十届三中全会精神及习近平总书记关于乡村振兴的重要讲话，把党的创新理论作为推进日常工作的思想武器，撰写学习心得，结合村级工作制定落实举措。</w:t>
      </w:r>
      <w:r>
        <w:rPr>
          <w:rFonts w:hint="eastAsia" w:ascii="黑体" w:hAnsi="黑体" w:eastAsia="黑体" w:cs="黑体"/>
          <w:color w:val="auto"/>
        </w:rPr>
        <w:t>二是</w:t>
      </w:r>
      <w:r>
        <w:rPr>
          <w:rFonts w:hint="eastAsia" w:ascii="Times New Roman" w:hAnsi="Times New Roman" w:eastAsia="仿宋_GB2312" w:cs="Times New Roman"/>
          <w:color w:val="auto"/>
        </w:rPr>
        <w:t>制定《古楼子村2026—2028年乡村振兴规划》，明确强边固防、产业发展、民生保障等重点任务。</w:t>
      </w:r>
      <w:r>
        <w:rPr>
          <w:rFonts w:hint="eastAsia" w:ascii="黑体" w:hAnsi="黑体" w:eastAsia="黑体" w:cs="黑体"/>
          <w:color w:val="auto"/>
        </w:rPr>
        <w:t>三是</w:t>
      </w:r>
      <w:r>
        <w:rPr>
          <w:rFonts w:hint="eastAsia" w:ascii="Times New Roman" w:hAnsi="Times New Roman" w:eastAsia="仿宋_GB2312" w:cs="Times New Roman"/>
          <w:color w:val="auto"/>
        </w:rPr>
        <w:t>每季度开展1次“群众诉求大排查”，建立诉求台账，对饮水、出行、增收等突出问题优先协调解决，解决情况向群众公示。</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2.</w:t>
      </w:r>
      <w:r>
        <w:rPr>
          <w:rFonts w:hint="eastAsia" w:ascii="Times New Roman" w:hAnsi="Times New Roman" w:eastAsia="仿宋_GB2312" w:cs="Times New Roman"/>
          <w:b/>
          <w:bCs/>
          <w:color w:val="auto"/>
        </w:rPr>
        <w:t>在压实全面从严治党“两个责任”、规范权力运行方面。</w:t>
      </w:r>
      <w:r>
        <w:rPr>
          <w:rFonts w:hint="eastAsia" w:ascii="黑体" w:hAnsi="黑体" w:eastAsia="黑体" w:cs="黑体"/>
          <w:color w:val="auto"/>
        </w:rPr>
        <w:t>一是</w:t>
      </w:r>
      <w:r>
        <w:rPr>
          <w:rFonts w:hint="eastAsia" w:ascii="Times New Roman" w:hAnsi="Times New Roman" w:eastAsia="仿宋_GB2312" w:cs="Times New Roman"/>
          <w:color w:val="auto"/>
        </w:rPr>
        <w:t>召开村“两委”班子全面从严治党专题会议，明确班子成员“一岗双责”，签订《党风廉政建设责任书》，每半年向乡党委报告落实情况。</w:t>
      </w:r>
      <w:r>
        <w:rPr>
          <w:rFonts w:hint="eastAsia" w:ascii="黑体" w:hAnsi="黑体" w:eastAsia="黑体" w:cs="黑体"/>
          <w:color w:val="auto"/>
        </w:rPr>
        <w:t>二是</w:t>
      </w:r>
      <w:r>
        <w:rPr>
          <w:rFonts w:hint="eastAsia" w:ascii="Times New Roman" w:hAnsi="Times New Roman" w:eastAsia="仿宋_GB2312" w:cs="Times New Roman"/>
          <w:color w:val="auto"/>
        </w:rPr>
        <w:t>规范“阳光三务”公开，每月10日在村委会公告栏、微信群公开党务、村务、财务，公开材料报乡经管站备案。</w:t>
      </w:r>
      <w:r>
        <w:rPr>
          <w:rFonts w:hint="eastAsia" w:ascii="黑体" w:hAnsi="黑体" w:eastAsia="黑体" w:cs="黑体"/>
          <w:color w:val="auto"/>
        </w:rPr>
        <w:t>三是</w:t>
      </w:r>
      <w:r>
        <w:rPr>
          <w:rFonts w:hint="eastAsia" w:ascii="Times New Roman" w:hAnsi="Times New Roman" w:eastAsia="仿宋_GB2312" w:cs="Times New Roman"/>
          <w:color w:val="auto"/>
        </w:rPr>
        <w:t>组织村“两委”成员、财务人员学习《农村集体“三资”管理办法》，提升业务能力，后续严格执行“四议一审两公开”制度，所有村级重大事项按程序推进。</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cs="Times New Roman"/>
          <w:color w:val="auto"/>
        </w:rPr>
        <w:t>3.</w:t>
      </w:r>
      <w:r>
        <w:rPr>
          <w:rFonts w:hint="eastAsia" w:ascii="Times New Roman" w:hAnsi="Times New Roman" w:eastAsia="仿宋_GB2312" w:cs="Times New Roman"/>
          <w:b/>
          <w:bCs/>
          <w:color w:val="auto"/>
        </w:rPr>
        <w:t>在加强党对农村工作的全面领导、抓党建促乡村振兴方面。</w:t>
      </w:r>
      <w:r>
        <w:rPr>
          <w:rFonts w:hint="eastAsia" w:ascii="黑体" w:hAnsi="黑体" w:eastAsia="黑体" w:cs="黑体"/>
          <w:color w:val="auto"/>
        </w:rPr>
        <w:t>一是</w:t>
      </w:r>
      <w:r>
        <w:rPr>
          <w:rFonts w:hint="eastAsia" w:ascii="Times New Roman" w:hAnsi="Times New Roman" w:eastAsia="仿宋_GB2312" w:cs="Times New Roman"/>
          <w:color w:val="auto"/>
        </w:rPr>
        <w:t>对照《农村基层党组织建设标准》，梳理村级党组织建设短板，制定整改清单并完成整改，提升标准化、规范化建设质量。</w:t>
      </w:r>
      <w:r>
        <w:rPr>
          <w:rFonts w:hint="eastAsia" w:ascii="黑体" w:hAnsi="黑体" w:eastAsia="黑体" w:cs="黑体"/>
          <w:color w:val="auto"/>
        </w:rPr>
        <w:t>二是</w:t>
      </w:r>
      <w:r>
        <w:rPr>
          <w:rFonts w:hint="eastAsia" w:ascii="Times New Roman" w:hAnsi="Times New Roman" w:eastAsia="仿宋_GB2312" w:cs="Times New Roman"/>
          <w:color w:val="auto"/>
        </w:rPr>
        <w:t>开展“党员带头促振兴”活动，组织党员在合作社运营、边境防控、环境整治等工作中发挥先锋模范作用，每季度评选“优秀党员”并公示。</w:t>
      </w:r>
      <w:r>
        <w:rPr>
          <w:rFonts w:hint="eastAsia" w:ascii="黑体" w:hAnsi="黑体" w:eastAsia="黑体" w:cs="黑体"/>
          <w:color w:val="auto"/>
        </w:rPr>
        <w:t>三是</w:t>
      </w:r>
      <w:r>
        <w:rPr>
          <w:rFonts w:hint="eastAsia" w:ascii="Times New Roman" w:hAnsi="Times New Roman" w:eastAsia="仿宋_GB2312" w:cs="Times New Roman"/>
          <w:color w:val="auto"/>
        </w:rPr>
        <w:t>对接古楼子乡党委争取党建帮扶资源，每年组织村“两委”成员、党员参加不少于2次乡村振兴专题培训，提升引领能力。</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黑体" w:hAnsi="黑体" w:eastAsia="黑体" w:cs="黑体"/>
        </w:rPr>
      </w:pPr>
      <w:r>
        <w:rPr>
          <w:rFonts w:hint="eastAsia" w:ascii="黑体" w:hAnsi="黑体" w:eastAsia="黑体" w:cs="黑体"/>
          <w:color w:val="auto"/>
          <w:lang w:val="en-US" w:eastAsia="zh-CN"/>
        </w:rPr>
        <w:t>三、下一步工作打算及计划</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（一）强化整改落实，压实整改责任</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hAnsi="仿宋" w:cs="华文仿宋"/>
          <w:color w:val="auto"/>
          <w:lang w:val="en-US" w:eastAsia="zh-CN"/>
        </w:rPr>
      </w:pPr>
      <w:r>
        <w:rPr>
          <w:rFonts w:hint="eastAsia" w:ascii="Times New Roman" w:hAnsi="Times New Roman" w:eastAsia="仿宋_GB2312" w:cs="Times New Roman"/>
          <w:color w:val="auto"/>
        </w:rPr>
        <w:t>紧盯时间节点，对正在推进的整改任务加强督导，对已经完成的整改事项持续跟踪问效、防止反弹，对尚未全部完成的任务严格倒排工期，压实乡村两级整改责任，确保按时保质完成全部整改工作，定期对整改成效开展“回头看”，巩固整改成果。</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（二）健全工作机制，堵塞制度漏洞</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坚持标本兼治，聚焦产业发展、基础设施改善等长期任务，明确阶段性目标，持之以恒推进；在解决具体问题的同时深入挖掘制度机制根源，进一步完善土地流转监管、集体“三资”管理、村级工程发包、物资发放、基层党务规范、民生问题办理等制度，修订完善一批规章制度，健全权力运行监督制约机制，切实达成以巡促改、以巡促建、以巡促治。</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（三）聚焦发展要务，推动成果转化</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把整改落实与推进乡村振兴、强边固防、产业发展、民生改善等重点工作紧密结合，充分挖掘古楼子乡沿江沿边资源优势，持续壮大村集体经济，着力解决群众急难愁盼问题，不断提升基层治理能力和党组织建设水平，推动全乡经济社会高质量发展。</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欢迎广大干部群众对巡察整改落实情况进行监督。如有意见建议，请及时向我们反馈。公开期限：2026年　月　日至　月　日，联系电话：</w:t>
      </w:r>
      <w:r>
        <w:rPr>
          <w:rFonts w:hint="eastAsia" w:ascii="Times New Roman" w:hAnsi="Times New Roman" w:eastAsia="仿宋_GB2312" w:cs="Times New Roman"/>
          <w:color w:val="auto"/>
          <w:lang w:val="en-US" w:eastAsia="zh-CN"/>
        </w:rPr>
        <w:t>0415-5590415</w:t>
      </w:r>
      <w:r>
        <w:rPr>
          <w:rFonts w:hint="eastAsia" w:ascii="Times New Roman" w:hAnsi="Times New Roman" w:eastAsia="仿宋_GB2312" w:cs="Times New Roman"/>
          <w:color w:val="auto"/>
        </w:rPr>
        <w:t>（工作日8:30—17:30）；邮政信箱：辽宁省丹东市宽甸满族自治县古楼子乡，邮政编码：（请填写邮政编码）。</w:t>
      </w:r>
    </w:p>
    <w:p>
      <w:pPr>
        <w:keepNext w:val="0"/>
        <w:keepLines w:val="0"/>
        <w:pageBreakBefore w:val="0"/>
        <w:widowControl w:val="0"/>
        <w:kinsoku/>
        <w:wordWrap/>
        <w:overflowPunct/>
        <w:topLinePunct w:val="0"/>
        <w:autoSpaceDE/>
        <w:autoSpaceDN/>
        <w:bidi w:val="0"/>
        <w:adjustRightInd/>
        <w:snapToGrid/>
        <w:spacing w:line="579" w:lineRule="exact"/>
        <w:ind w:firstLine="632"/>
        <w:jc w:val="right"/>
        <w:textAlignment w:val="auto"/>
        <w:rPr>
          <w:rFonts w:hint="eastAsia" w:cs="方正仿宋_GB2312"/>
          <w:color w:val="auto"/>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4787" w:firstLineChars="1496"/>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中共古楼子乡委员会</w:t>
      </w:r>
    </w:p>
    <w:p>
      <w:pPr>
        <w:keepNext w:val="0"/>
        <w:keepLines w:val="0"/>
        <w:pageBreakBefore w:val="0"/>
        <w:widowControl w:val="0"/>
        <w:kinsoku/>
        <w:wordWrap/>
        <w:overflowPunct/>
        <w:topLinePunct w:val="0"/>
        <w:autoSpaceDE/>
        <w:autoSpaceDN/>
        <w:bidi w:val="0"/>
        <w:adjustRightInd/>
        <w:snapToGrid/>
        <w:spacing w:line="579" w:lineRule="exact"/>
        <w:ind w:firstLine="5120" w:firstLineChars="1600"/>
        <w:textAlignment w:val="auto"/>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2026年　月　日</w:t>
      </w:r>
    </w:p>
    <w:sectPr>
      <w:footerReference r:id="rId3" w:type="default"/>
      <w:pgSz w:w="11906" w:h="16838"/>
      <w:pgMar w:top="2098" w:right="1474" w:bottom="1984"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hint="eastAsia" w:ascii="宋体" w:hAnsi="宋体" w:eastAsia="宋体" w:cs="宋体"/>
                              <w:b w:val="0"/>
                              <w:bCs w:val="0"/>
                              <w:sz w:val="30"/>
                              <w:szCs w:val="30"/>
                            </w:rPr>
                          </w:pPr>
                          <w:r>
                            <w:rPr>
                              <w:rFonts w:hint="eastAsia" w:ascii="宋体" w:hAnsi="宋体" w:eastAsia="宋体" w:cs="宋体"/>
                              <w:b w:val="0"/>
                              <w:bCs w:val="0"/>
                              <w:sz w:val="30"/>
                              <w:szCs w:val="30"/>
                            </w:rPr>
                            <w:fldChar w:fldCharType="begin"/>
                          </w:r>
                          <w:r>
                            <w:rPr>
                              <w:rFonts w:hint="eastAsia" w:ascii="宋体" w:hAnsi="宋体" w:eastAsia="宋体" w:cs="宋体"/>
                              <w:b w:val="0"/>
                              <w:bCs w:val="0"/>
                              <w:sz w:val="30"/>
                              <w:szCs w:val="30"/>
                            </w:rPr>
                            <w:instrText xml:space="preserve"> PAGE  \* MERGEFORMAT </w:instrText>
                          </w:r>
                          <w:r>
                            <w:rPr>
                              <w:rFonts w:hint="eastAsia" w:ascii="宋体" w:hAnsi="宋体" w:eastAsia="宋体" w:cs="宋体"/>
                              <w:b w:val="0"/>
                              <w:bCs w:val="0"/>
                              <w:sz w:val="30"/>
                              <w:szCs w:val="30"/>
                            </w:rPr>
                            <w:fldChar w:fldCharType="separate"/>
                          </w:r>
                          <w:r>
                            <w:rPr>
                              <w:rFonts w:hint="eastAsia" w:ascii="宋体" w:hAnsi="宋体" w:eastAsia="宋体" w:cs="宋体"/>
                              <w:b w:val="0"/>
                              <w:bCs w:val="0"/>
                              <w:sz w:val="30"/>
                              <w:szCs w:val="30"/>
                            </w:rPr>
                            <w:t>1</w:t>
                          </w:r>
                          <w:r>
                            <w:rPr>
                              <w:rFonts w:hint="eastAsia" w:ascii="宋体" w:hAnsi="宋体" w:eastAsia="宋体" w:cs="宋体"/>
                              <w:b w:val="0"/>
                              <w:bCs w:val="0"/>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2"/>
                      <w:rPr>
                        <w:rFonts w:hint="eastAsia" w:ascii="宋体" w:hAnsi="宋体" w:eastAsia="宋体" w:cs="宋体"/>
                        <w:b w:val="0"/>
                        <w:bCs w:val="0"/>
                        <w:sz w:val="30"/>
                        <w:szCs w:val="30"/>
                      </w:rPr>
                    </w:pPr>
                    <w:r>
                      <w:rPr>
                        <w:rFonts w:hint="eastAsia" w:ascii="宋体" w:hAnsi="宋体" w:eastAsia="宋体" w:cs="宋体"/>
                        <w:b w:val="0"/>
                        <w:bCs w:val="0"/>
                        <w:sz w:val="30"/>
                        <w:szCs w:val="30"/>
                      </w:rPr>
                      <w:fldChar w:fldCharType="begin"/>
                    </w:r>
                    <w:r>
                      <w:rPr>
                        <w:rFonts w:hint="eastAsia" w:ascii="宋体" w:hAnsi="宋体" w:eastAsia="宋体" w:cs="宋体"/>
                        <w:b w:val="0"/>
                        <w:bCs w:val="0"/>
                        <w:sz w:val="30"/>
                        <w:szCs w:val="30"/>
                      </w:rPr>
                      <w:instrText xml:space="preserve"> PAGE  \* MERGEFORMAT </w:instrText>
                    </w:r>
                    <w:r>
                      <w:rPr>
                        <w:rFonts w:hint="eastAsia" w:ascii="宋体" w:hAnsi="宋体" w:eastAsia="宋体" w:cs="宋体"/>
                        <w:b w:val="0"/>
                        <w:bCs w:val="0"/>
                        <w:sz w:val="30"/>
                        <w:szCs w:val="30"/>
                      </w:rPr>
                      <w:fldChar w:fldCharType="separate"/>
                    </w:r>
                    <w:r>
                      <w:rPr>
                        <w:rFonts w:hint="eastAsia" w:ascii="宋体" w:hAnsi="宋体" w:eastAsia="宋体" w:cs="宋体"/>
                        <w:b w:val="0"/>
                        <w:bCs w:val="0"/>
                        <w:sz w:val="30"/>
                        <w:szCs w:val="30"/>
                      </w:rPr>
                      <w:t>1</w:t>
                    </w:r>
                    <w:r>
                      <w:rPr>
                        <w:rFonts w:hint="eastAsia" w:ascii="宋体" w:hAnsi="宋体" w:eastAsia="宋体" w:cs="宋体"/>
                        <w:b w:val="0"/>
                        <w:bCs w:val="0"/>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8A4ED5"/>
    <w:rsid w:val="05E368BD"/>
    <w:rsid w:val="071B43A1"/>
    <w:rsid w:val="0B501E16"/>
    <w:rsid w:val="0BF7208D"/>
    <w:rsid w:val="12DF0CC5"/>
    <w:rsid w:val="14243EFC"/>
    <w:rsid w:val="1697160A"/>
    <w:rsid w:val="1E5B2C11"/>
    <w:rsid w:val="27FE2BC2"/>
    <w:rsid w:val="2B002C1B"/>
    <w:rsid w:val="2C7E14F2"/>
    <w:rsid w:val="2D360B68"/>
    <w:rsid w:val="31D67882"/>
    <w:rsid w:val="3849605F"/>
    <w:rsid w:val="3DAF4651"/>
    <w:rsid w:val="4DA76556"/>
    <w:rsid w:val="52AE38F6"/>
    <w:rsid w:val="54781846"/>
    <w:rsid w:val="55857B6B"/>
    <w:rsid w:val="5F8A4ED5"/>
    <w:rsid w:val="740E7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仿宋_GB2312" w:hAnsi="方正仿宋_GB2312" w:eastAsia="方正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6389</Words>
  <Characters>6749</Characters>
  <Lines>0</Lines>
  <Paragraphs>0</Paragraphs>
  <TotalTime>6</TotalTime>
  <ScaleCrop>false</ScaleCrop>
  <LinksUpToDate>false</LinksUpToDate>
  <CharactersWithSpaces>6749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2026-08-30T13:20:00Z</dcterms:created>
  <dc:creator>春困秋乏</dc:creator>
  <cp:lastModifiedBy>zhuaiping</cp:lastModifiedBy>
  <dcterms:modified xsi:type="dcterms:W3CDTF">2026-09-02T05:16:04Z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C7CECCE394C24A3AB0D8E16F43721383_13</vt:lpwstr>
  </property>
  <property fmtid="{D5CDD505-2E9C-101B-9397-08002B2CF9AE}" pid="4" name="KSOTemplateDocerSaveRecord">
    <vt:lpwstr>eyJoZGlkIjoiMmMxZGRhZGNlNTE4MWEwYjJiYjVjYzUyOTQyNWIwZTYiLCJ1c2VySWQiOiIyNjc5NTQyNTYifQ==</vt:lpwstr>
  </property>
  <property fmtid="{D5CDD505-2E9C-101B-9397-08002B2CF9AE}" pid="5" name="AIGC">
    <vt:lpwstr>{"Label":"1","ContentProducer":"001191440300708461136T1WFUO","ProduceID":"6f056bce30a29a8df8b9548be1fb3a8d-GoKa","ReservedCode1":"{\"Type\":\" TC260PG\",\"Version\":1,\"Bindings\":[{\"Type\":\"soft\",\"AlgID\":\"sm3\",\"Value\":\"b007bb88c9ee149bf57d0e4ff820b56b457424820870d2d0faffb8d5dcaf375e\"},{\"Type\":\"hash\",\"AlgID\":\"sm3\",\"Value\":\"cdb235ef47a6787c0e0c6146390c094fb7f93bbad20fb96492940daa5cb869fc\"}],\"PubSD\":[{\"Type\":\"DS\",\"AlgID\":\"sm2\",\"TBSData\":{\"Type\":\"Binding\",\"BType\":\"hash\"},\"Signature\":\"3046022100dc9515bc2f9374d2330ef0fb8af2112a598a989c7ef9d801348212a01d06e40f022100eaa73948077496185cc4833d42809b3263e55b653c64037d597bbbf79880d570\"},{\"Type\":\"PubKey\",\"AlgID\":\"sm2\",\"KeyValue\":\"0407f79b28a17a752b3aae4305c98b48978213832729a2571850b1310b2bc9fe8fee039ccf25ebfeac27502414d9fcef792d777183c98893d226171c2f7a3289a2\"}],\"Extension\":{\"Timestamp\":1788097460,\"KeyVersion\":\"v1-TxLeOmf7bqU223\"}}","ContentPropagator":"001191440300708461136T1WFUO","PropagateID":"6f056bce30a29a8df8b9548be1fb3a8d-GoKa","ReservedCode2":"{\"Type\":\" TC260PG\",\"Version\":1,\"Bindings\":[{\"Type\":\"soft\",\"AlgID\":\"sm3\",\"Value\":\"b007bb88c9ee149bf57d0e4ff820b56b457424820870d2d0faffb8d5dcaf375e\"},{\"Type\":\"hash\",\"AlgID\":\"sm3\",\"Value\":\"cdb235ef47a6787c0e0c6146390c094fb7f93bbad20fb96492940daa5cb869fc\"}],\"PubSD\":[{\"Type\":\"DS\",\"AlgID\":\"sm2\",\"TBSData\":{\"Type\":\"Binding\",\"BType\":\"hash\"},\"Signature\":\"304502202439cdf718f9d90497d6436fe240dbd7a14cfa3a53bec01bfca309cc7d469d85022100fdf0f5d3d0e6faa7ce778c9bdf0b8482057b078d6a54558ae329497eae3c7f72\"},{\"Type\":\"PubKey\",\"AlgID\":\"sm2\",\"KeyValue\":\"0407f79b28a17a752b3aae4305c98b48978213832729a2571850b1310b2bc9fe8fee039ccf25ebfeac27502414d9fcef792d777183c98893d226171c2f7a3289a2\"}],\"Extension\":{\"Timestamp\":1788097460,\"KeyVersion\":\"v1-TxLeOmf7bqU223\"}}"}</vt:lpwstr>
  </property>
</Properties>
</file>