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579" w:lineRule="exact"/>
        <w:ind w:left="0" w:leftChars="0"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中共丹东市振安区人民检察院党组</w:t>
      </w:r>
    </w:p>
    <w:p>
      <w:pPr>
        <w:widowControl w:val="0"/>
        <w:wordWrap/>
        <w:adjustRightInd/>
        <w:snapToGrid/>
        <w:spacing w:before="0" w:after="0" w:line="579" w:lineRule="exact"/>
        <w:ind w:left="0" w:leftChars="0"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关于市委巡察整改落实进展情况的通报</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rPr>
      </w:pP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根据市委和市委巡察工作领导小组统一部署，2024年9月30日至12月30日，市委第五巡察组于对中共丹东市振安区人民检察院党组进行了巡察。2025年2月20日，市委第五巡察组向中共丹东市振安区人民检察院党组反馈了巡察意见。按照《中国共产党巡视工作条例》有关要求，现将巡察整改情况予以公布。</w:t>
      </w:r>
    </w:p>
    <w:p>
      <w:pPr>
        <w:widowControl w:val="0"/>
        <w:wordWrap/>
        <w:adjustRightInd/>
        <w:snapToGrid/>
        <w:spacing w:before="0" w:after="0" w:line="579" w:lineRule="exact"/>
        <w:ind w:left="0" w:leftChars="0" w:right="0" w:firstLine="640"/>
        <w:textAlignment w:val="auto"/>
        <w:outlineLvl w:val="9"/>
        <w:rPr>
          <w:rFonts w:hint="eastAsia" w:ascii="黑体" w:hAnsi="黑体" w:eastAsia="黑体" w:cs="黑体"/>
          <w:sz w:val="34"/>
          <w:szCs w:val="34"/>
        </w:rPr>
      </w:pPr>
      <w:r>
        <w:rPr>
          <w:rFonts w:hint="eastAsia" w:ascii="黑体" w:hAnsi="黑体" w:eastAsia="黑体" w:cs="黑体"/>
          <w:sz w:val="34"/>
          <w:szCs w:val="34"/>
        </w:rPr>
        <w:t>一、领导班子履行主体责任情况</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自巡察反馈以来，我院党组立即成立整改工作领导小组，由党组书记、检察长任组长，其他党组成员为副组长，各部门负责人为成员，全面负责整改工作的组织实施。班子成员坚持把自己摆进去，切实履行一岗双责，一手抓自身整改，一手抓分管部门和分管领域整改。检察长作为主要负责人，明确各内设机构负责人对本部门整改工作负总责，做到任务到岗、责任到人、要求到位，确保整改任务真落实。整改工作领导小组采取点对点方式督促，政治部负责整改工作的日常监督，形成由上到下，全方位、无死角监督体系。</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院党组严格按照巡察组反馈的意见和要求，先后召开民主生活会、党组（扩大）会、院务会逐条对照进行了认领,形成《中共丹东市振安区人民检察院党组关于市委巡察反馈意见的整改落实方案》、整改台账和党组巡察反馈意见整改社会公开稿，完成保密工作反馈意见整改和巡察移交信访件办理，修改完善相关制度、规定，健全院内规章制度，确保整改成果得以巩固和形成长效机制。</w:t>
      </w:r>
    </w:p>
    <w:p>
      <w:pPr>
        <w:widowControl w:val="0"/>
        <w:wordWrap/>
        <w:adjustRightInd/>
        <w:snapToGrid/>
        <w:spacing w:before="0" w:after="0" w:line="579" w:lineRule="exact"/>
        <w:ind w:left="0" w:leftChars="0" w:right="0" w:firstLine="640"/>
        <w:textAlignment w:val="auto"/>
        <w:outlineLvl w:val="9"/>
        <w:rPr>
          <w:rFonts w:hint="default" w:ascii="黑体" w:hAnsi="黑体" w:eastAsia="黑体" w:cs="黑体"/>
          <w:sz w:val="34"/>
          <w:szCs w:val="34"/>
        </w:rPr>
      </w:pPr>
      <w:r>
        <w:rPr>
          <w:rFonts w:hint="default" w:ascii="黑体" w:hAnsi="黑体" w:eastAsia="黑体" w:cs="黑体"/>
          <w:sz w:val="34"/>
          <w:szCs w:val="34"/>
        </w:rPr>
        <w:t>二、巡察整改落实情况</w:t>
      </w:r>
    </w:p>
    <w:p>
      <w:pPr>
        <w:widowControl w:val="0"/>
        <w:wordWrap/>
        <w:adjustRightInd/>
        <w:snapToGrid/>
        <w:spacing w:before="0" w:after="0" w:line="579" w:lineRule="exact"/>
        <w:ind w:left="0" w:leftChars="0" w:right="0" w:firstLine="640" w:firstLineChars="200"/>
        <w:textAlignment w:val="auto"/>
        <w:outlineLvl w:val="9"/>
        <w:rPr>
          <w:rFonts w:hint="eastAsia" w:ascii="方正楷体简体" w:hAnsi="方正楷体简体" w:eastAsia="方正楷体简体" w:cs="方正楷体简体"/>
          <w:bCs/>
          <w:sz w:val="34"/>
          <w:szCs w:val="34"/>
        </w:rPr>
      </w:pPr>
      <w:r>
        <w:rPr>
          <w:rFonts w:hint="eastAsia" w:ascii="方正楷体简体" w:hAnsi="方正楷体简体" w:eastAsia="方正楷体简体" w:cs="方正楷体简体"/>
          <w:bCs/>
          <w:sz w:val="34"/>
          <w:szCs w:val="34"/>
        </w:rPr>
        <w:t>（一）学习贯彻政法工作指示精神不深入，落实上级决策部署不到位</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bCs/>
          <w:sz w:val="34"/>
          <w:szCs w:val="34"/>
        </w:rPr>
      </w:pPr>
      <w:r>
        <w:rPr>
          <w:rFonts w:hint="default" w:ascii="Times New Roman" w:hAnsi="Times New Roman" w:eastAsia="方正仿宋简体" w:cs="Times New Roman"/>
          <w:b/>
          <w:bCs w:val="0"/>
          <w:sz w:val="34"/>
          <w:szCs w:val="34"/>
        </w:rPr>
        <w:t>1.在理论学习不够深入方面。</w:t>
      </w:r>
      <w:r>
        <w:rPr>
          <w:rFonts w:hint="default" w:ascii="Times New Roman" w:hAnsi="Times New Roman" w:eastAsia="方正仿宋简体" w:cs="Times New Roman"/>
          <w:bCs/>
          <w:sz w:val="34"/>
          <w:szCs w:val="34"/>
        </w:rPr>
        <w:t>2025年3月17日，在第五次理论中心组学习中组织党组对《法治中国建设规划（2020-2025年）》及中央全面依法治国工作会议精神进行补学，指定政治部对2025年需要学习的内容进行全面梳理，制定了党组中心组理论全年学习计划，同时已建立《丹东市振安区人民检察院党组、党支部、党小组学习督导制度》，确保将上级精神学实学全。</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bCs/>
          <w:sz w:val="34"/>
          <w:szCs w:val="34"/>
        </w:rPr>
      </w:pPr>
      <w:r>
        <w:rPr>
          <w:rFonts w:hint="default" w:ascii="Times New Roman" w:hAnsi="Times New Roman" w:eastAsia="方正仿宋简体" w:cs="Times New Roman"/>
          <w:b/>
          <w:bCs/>
          <w:sz w:val="34"/>
          <w:szCs w:val="34"/>
        </w:rPr>
        <w:t>2.在法治化营商环境建设意识不强方面。刑事条线：</w:t>
      </w:r>
      <w:r>
        <w:rPr>
          <w:rFonts w:hint="default" w:ascii="黑体" w:hAnsi="黑体" w:eastAsia="黑体" w:cs="黑体"/>
          <w:sz w:val="34"/>
          <w:szCs w:val="34"/>
        </w:rPr>
        <w:t>一是</w:t>
      </w:r>
      <w:r>
        <w:rPr>
          <w:rFonts w:hint="default" w:ascii="Times New Roman" w:hAnsi="Times New Roman" w:eastAsia="方正仿宋简体" w:cs="Times New Roman"/>
          <w:bCs/>
          <w:sz w:val="34"/>
          <w:szCs w:val="34"/>
        </w:rPr>
        <w:t>深化学习，提升理念。组织干警每周五集中学习，深入学习贯彻习近平总书记关于法治化营商环境的重要论述，围绕最高检</w:t>
      </w:r>
      <w:r>
        <w:rPr>
          <w:rFonts w:hint="eastAsia" w:ascii="Times New Roman" w:hAnsi="Times New Roman" w:eastAsia="方正仿宋简体" w:cs="Times New Roman"/>
          <w:bCs/>
          <w:sz w:val="34"/>
          <w:szCs w:val="34"/>
          <w:lang w:eastAsia="zh-CN"/>
        </w:rPr>
        <w:t>“</w:t>
      </w:r>
      <w:r>
        <w:rPr>
          <w:rFonts w:hint="default" w:ascii="Times New Roman" w:hAnsi="Times New Roman" w:eastAsia="方正仿宋简体" w:cs="Times New Roman"/>
          <w:bCs/>
          <w:sz w:val="34"/>
          <w:szCs w:val="34"/>
        </w:rPr>
        <w:t>检察护企</w:t>
      </w:r>
      <w:r>
        <w:rPr>
          <w:rFonts w:hint="eastAsia" w:ascii="Times New Roman" w:hAnsi="Times New Roman" w:eastAsia="方正仿宋简体" w:cs="Times New Roman"/>
          <w:bCs/>
          <w:sz w:val="34"/>
          <w:szCs w:val="34"/>
          <w:lang w:eastAsia="zh-CN"/>
        </w:rPr>
        <w:t>”</w:t>
      </w:r>
      <w:r>
        <w:rPr>
          <w:rFonts w:hint="default" w:ascii="Times New Roman" w:hAnsi="Times New Roman" w:eastAsia="方正仿宋简体" w:cs="Times New Roman"/>
          <w:bCs/>
          <w:sz w:val="34"/>
          <w:szCs w:val="34"/>
        </w:rPr>
        <w:t>专项行动方案，重点开展四项监督治理整改落实到位。2025年以来，已办理涉企案件6件，对民营企业内部职务侵占、注册“空壳公司”实施非法吸收公众存款等案件的犯罪嫌疑人依法批准逮捕。依法清理涉企挂案1件。</w:t>
      </w:r>
      <w:r>
        <w:rPr>
          <w:rFonts w:hint="default" w:ascii="黑体" w:hAnsi="黑体" w:eastAsia="黑体" w:cs="黑体"/>
          <w:sz w:val="34"/>
          <w:szCs w:val="34"/>
        </w:rPr>
        <w:t>二是</w:t>
      </w:r>
      <w:r>
        <w:rPr>
          <w:rFonts w:hint="default" w:ascii="Times New Roman" w:hAnsi="Times New Roman" w:eastAsia="方正仿宋简体" w:cs="Times New Roman"/>
          <w:bCs/>
          <w:sz w:val="34"/>
          <w:szCs w:val="34"/>
        </w:rPr>
        <w:t>践行“三个善于”，提升办案质效。2025年1月以来，办理2件非法集资案件，在赵某某非法吸收公众存款案中，坚持全链条打击，成功追诉2名涉案人员，筑牢金融安全底线。</w:t>
      </w:r>
      <w:r>
        <w:rPr>
          <w:rFonts w:hint="default" w:ascii="黑体" w:hAnsi="黑体" w:eastAsia="黑体" w:cs="黑体"/>
          <w:sz w:val="34"/>
          <w:szCs w:val="34"/>
        </w:rPr>
        <w:t>三是</w:t>
      </w:r>
      <w:r>
        <w:rPr>
          <w:rFonts w:hint="default" w:ascii="Times New Roman" w:hAnsi="Times New Roman" w:eastAsia="方正仿宋简体" w:cs="Times New Roman"/>
          <w:bCs/>
          <w:sz w:val="34"/>
          <w:szCs w:val="34"/>
        </w:rPr>
        <w:t>强化监督，规范涉企执法。开展涉企执法监督专项行动，健全受案、立案数据交换机制。办理王某某销售伪劣产品案时，督促公安机关及时发还赃款，最大限度挽回企业损失。</w:t>
      </w:r>
      <w:r>
        <w:rPr>
          <w:rFonts w:hint="eastAsia" w:ascii="黑体" w:hAnsi="黑体" w:eastAsia="黑体" w:cs="黑体"/>
          <w:b w:val="0"/>
          <w:bCs w:val="0"/>
          <w:sz w:val="34"/>
          <w:szCs w:val="34"/>
        </w:rPr>
        <w:t>四是</w:t>
      </w:r>
      <w:r>
        <w:rPr>
          <w:rFonts w:hint="default" w:ascii="Times New Roman" w:hAnsi="Times New Roman" w:eastAsia="方正仿宋简体" w:cs="Times New Roman"/>
          <w:bCs/>
          <w:sz w:val="34"/>
          <w:szCs w:val="34"/>
        </w:rPr>
        <w:t>加大知识产权保护，深化综合履职。办理假冒华为品牌案件时保障被害人权益，推动侵权人赔偿，追赃挽损成效明显。</w:t>
      </w:r>
      <w:r>
        <w:rPr>
          <w:rFonts w:hint="default" w:ascii="Times New Roman" w:hAnsi="Times New Roman" w:eastAsia="方正仿宋简体" w:cs="Times New Roman"/>
          <w:b/>
          <w:bCs/>
          <w:sz w:val="34"/>
          <w:szCs w:val="34"/>
        </w:rPr>
        <w:t>刑执条线：</w:t>
      </w:r>
      <w:r>
        <w:rPr>
          <w:rFonts w:hint="default" w:ascii="黑体" w:hAnsi="黑体" w:eastAsia="黑体" w:cs="黑体"/>
          <w:b w:val="0"/>
          <w:bCs w:val="0"/>
          <w:sz w:val="34"/>
          <w:szCs w:val="34"/>
        </w:rPr>
        <w:t>一是</w:t>
      </w:r>
      <w:r>
        <w:rPr>
          <w:rFonts w:hint="default" w:ascii="Times New Roman" w:hAnsi="Times New Roman" w:eastAsia="方正仿宋简体" w:cs="Times New Roman"/>
          <w:bCs/>
          <w:sz w:val="34"/>
          <w:szCs w:val="34"/>
        </w:rPr>
        <w:t>强化涉企刑事案件强制措施监督。依法准确适用人身强制措施，重点依法加强对被追诉企业负责人、高级管理人员指定居所监视居住的决定和执行的监督。已经要求侦查机关及时报送关于指定居所监视居住的相关材料和决定依据，但是侦查机关办理的刑事案件中，目前没有对嫌疑人采取指定居所监视居住强制措施。</w:t>
      </w:r>
      <w:r>
        <w:rPr>
          <w:rFonts w:hint="default" w:ascii="黑体" w:hAnsi="黑体" w:eastAsia="黑体" w:cs="黑体"/>
          <w:b w:val="0"/>
          <w:bCs w:val="0"/>
          <w:sz w:val="34"/>
          <w:szCs w:val="34"/>
        </w:rPr>
        <w:t>二是</w:t>
      </w:r>
      <w:r>
        <w:rPr>
          <w:rFonts w:hint="default" w:ascii="Times New Roman" w:hAnsi="Times New Roman" w:eastAsia="方正仿宋简体" w:cs="Times New Roman"/>
          <w:bCs/>
          <w:sz w:val="34"/>
          <w:szCs w:val="34"/>
        </w:rPr>
        <w:t>对涉企刑事裁判涉财产部分执行侵害企业合法权益案件加强检察监督。重点对于被害人系企业的财产刑执行监督，对涉企财产刑执行立案、执行工作同步开展监督，督促人民法院及时立案、依法执行，力争最大程度挽回企业损失，保障企业发展。经刑执办案组核查，暂未发现振安法院有涉企财产刑案件未及时立案、执行的情况。</w:t>
      </w:r>
      <w:r>
        <w:rPr>
          <w:rFonts w:hint="default" w:ascii="Times New Roman" w:hAnsi="Times New Roman" w:eastAsia="方正仿宋简体" w:cs="Times New Roman"/>
          <w:b/>
          <w:bCs/>
          <w:sz w:val="34"/>
          <w:szCs w:val="34"/>
        </w:rPr>
        <w:t>民行条线：</w:t>
      </w:r>
      <w:r>
        <w:rPr>
          <w:rFonts w:hint="default" w:ascii="黑体" w:hAnsi="黑体" w:eastAsia="黑体" w:cs="黑体"/>
          <w:b w:val="0"/>
          <w:bCs w:val="0"/>
          <w:sz w:val="34"/>
          <w:szCs w:val="34"/>
        </w:rPr>
        <w:t>一是</w:t>
      </w:r>
      <w:r>
        <w:rPr>
          <w:rFonts w:hint="default" w:ascii="Times New Roman" w:hAnsi="Times New Roman" w:eastAsia="方正仿宋简体" w:cs="Times New Roman"/>
          <w:bCs/>
          <w:sz w:val="34"/>
          <w:szCs w:val="34"/>
        </w:rPr>
        <w:t>研讨检察护企典型案例，组织学习“检察护企”行政检察典型案例。学习如何进一步加强对各类经营主体依法平等保护，营造法治化营商环境，助力经济社会高质量发展。</w:t>
      </w:r>
      <w:r>
        <w:rPr>
          <w:rFonts w:hint="default" w:ascii="黑体" w:hAnsi="黑体" w:eastAsia="黑体" w:cs="黑体"/>
          <w:b w:val="0"/>
          <w:bCs w:val="0"/>
          <w:sz w:val="34"/>
          <w:szCs w:val="34"/>
        </w:rPr>
        <w:t>二是</w:t>
      </w:r>
      <w:r>
        <w:rPr>
          <w:rFonts w:hint="default" w:ascii="Times New Roman" w:hAnsi="Times New Roman" w:eastAsia="方正仿宋简体" w:cs="Times New Roman"/>
          <w:bCs/>
          <w:sz w:val="34"/>
          <w:szCs w:val="34"/>
        </w:rPr>
        <w:t>借鉴督促行政执法机关纠正“小过重罚”类案监督模型，调取法院卷宗，针对模型关键要素进行逐一排查，提高发现案件线索能力，提升监督质效，助力护航法治化营商环境。</w:t>
      </w:r>
      <w:r>
        <w:rPr>
          <w:rFonts w:hint="default" w:ascii="Times New Roman" w:hAnsi="Times New Roman" w:eastAsia="方正仿宋简体" w:cs="Times New Roman"/>
          <w:b/>
          <w:bCs/>
          <w:sz w:val="34"/>
          <w:szCs w:val="34"/>
        </w:rPr>
        <w:t>公益诉讼条线：</w:t>
      </w:r>
      <w:r>
        <w:rPr>
          <w:rFonts w:hint="default" w:ascii="黑体" w:hAnsi="黑体" w:eastAsia="黑体" w:cs="黑体"/>
          <w:b w:val="0"/>
          <w:bCs w:val="0"/>
          <w:sz w:val="34"/>
          <w:szCs w:val="34"/>
        </w:rPr>
        <w:t>一是</w:t>
      </w:r>
      <w:r>
        <w:rPr>
          <w:rFonts w:hint="default" w:ascii="Times New Roman" w:hAnsi="Times New Roman" w:eastAsia="方正仿宋简体" w:cs="Times New Roman"/>
          <w:bCs/>
          <w:sz w:val="34"/>
          <w:szCs w:val="34"/>
        </w:rPr>
        <w:t>组织人员对最高检八号检察建议进行深入学习，了解掌握监督要点，结合实地走访企业和经营单位，进行宣传督导和检查，助推安全生产溯源治理，强化企业依法经营意识，提高企业管理规范水平。</w:t>
      </w:r>
      <w:r>
        <w:rPr>
          <w:rFonts w:hint="default" w:ascii="黑体" w:hAnsi="黑体" w:eastAsia="黑体" w:cs="黑体"/>
          <w:b w:val="0"/>
          <w:bCs w:val="0"/>
          <w:sz w:val="34"/>
          <w:szCs w:val="34"/>
        </w:rPr>
        <w:t>二是</w:t>
      </w:r>
      <w:r>
        <w:rPr>
          <w:rFonts w:hint="default" w:ascii="Times New Roman" w:hAnsi="Times New Roman" w:eastAsia="方正仿宋简体" w:cs="Times New Roman"/>
          <w:bCs/>
          <w:sz w:val="34"/>
          <w:szCs w:val="34"/>
        </w:rPr>
        <w:t>学习最高人民检察院关于全面加强新时代知识产权检察工作的意见，增强知识产权公益诉讼领域的理论研究和实证分析。同时与刑事部门开展座谈沟通，对其受理的案件进行了解，并向刑事部门普及可以与公益诉讼联动开展工作的情况要点。</w:t>
      </w:r>
    </w:p>
    <w:p>
      <w:pPr>
        <w:widowControl w:val="0"/>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bCs/>
          <w:sz w:val="34"/>
          <w:szCs w:val="34"/>
        </w:rPr>
      </w:pPr>
      <w:r>
        <w:rPr>
          <w:rFonts w:hint="default" w:ascii="方正楷体简体" w:hAnsi="方正楷体简体" w:eastAsia="方正楷体简体" w:cs="方正楷体简体"/>
          <w:bCs/>
          <w:sz w:val="34"/>
          <w:szCs w:val="34"/>
        </w:rPr>
        <w:t>（二）刑事检察作用发挥有欠缺，践行“高质量办好每一个案件”还有差距</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在诉前羁押率偏低的情况依然存在方面。</w:t>
      </w:r>
      <w:r>
        <w:rPr>
          <w:rFonts w:hint="default" w:ascii="黑体" w:hAnsi="黑体" w:eastAsia="黑体" w:cs="黑体"/>
          <w:b w:val="0"/>
          <w:bCs w:val="0"/>
          <w:sz w:val="34"/>
          <w:szCs w:val="34"/>
        </w:rPr>
        <w:t>一是</w:t>
      </w:r>
      <w:r>
        <w:rPr>
          <w:rFonts w:hint="default" w:ascii="Times New Roman" w:hAnsi="Times New Roman" w:eastAsia="方正仿宋简体" w:cs="Times New Roman"/>
          <w:sz w:val="34"/>
          <w:szCs w:val="34"/>
        </w:rPr>
        <w:t>精准把握逮捕条件，借助侦查监督与协作配合办公室，提前了解犯罪嫌疑人情况，评估羁押必要性。</w:t>
      </w:r>
      <w:r>
        <w:rPr>
          <w:rFonts w:hint="default" w:ascii="黑体" w:hAnsi="黑体" w:eastAsia="黑体" w:cs="黑体"/>
          <w:b w:val="0"/>
          <w:bCs w:val="0"/>
          <w:sz w:val="34"/>
          <w:szCs w:val="34"/>
        </w:rPr>
        <w:t>二是</w:t>
      </w:r>
      <w:r>
        <w:rPr>
          <w:rFonts w:hint="default" w:ascii="Times New Roman" w:hAnsi="Times New Roman" w:eastAsia="方正仿宋简体" w:cs="Times New Roman"/>
          <w:sz w:val="34"/>
          <w:szCs w:val="34"/>
        </w:rPr>
        <w:t>拓宽调查渠道，在审查公安机关材料基础上，主动走访犯罪嫌疑人所在社区、单位30余次，全面了解其日常表现，提升诉前羁押措施的科学性。</w:t>
      </w:r>
      <w:r>
        <w:rPr>
          <w:rFonts w:hint="default" w:ascii="黑体" w:hAnsi="黑体" w:eastAsia="黑体" w:cs="黑体"/>
          <w:b w:val="0"/>
          <w:bCs w:val="0"/>
          <w:sz w:val="34"/>
          <w:szCs w:val="34"/>
        </w:rPr>
        <w:t xml:space="preserve"> 三是</w:t>
      </w:r>
      <w:r>
        <w:rPr>
          <w:rFonts w:hint="default" w:ascii="Times New Roman" w:hAnsi="Times New Roman" w:eastAsia="方正仿宋简体" w:cs="Times New Roman"/>
          <w:sz w:val="34"/>
          <w:szCs w:val="34"/>
        </w:rPr>
        <w:t>强化捕后跟踪。对逮捕后的变更强制措施进行全面审查，对不需羁押或建议变更强制措施的案件，及时开展羁押必要性审查。对疑难案件，通过检察听证充分听取第三方意见，提高评估透明度。目前，院诉前羁押率已达33.3%，整改成效显著。</w:t>
      </w:r>
    </w:p>
    <w:p>
      <w:pPr>
        <w:widowControl w:val="0"/>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bCs/>
          <w:sz w:val="34"/>
          <w:szCs w:val="34"/>
        </w:rPr>
      </w:pPr>
      <w:r>
        <w:rPr>
          <w:rFonts w:hint="default" w:ascii="方正楷体简体" w:hAnsi="方正楷体简体" w:eastAsia="方正楷体简体" w:cs="方正楷体简体"/>
          <w:bCs/>
          <w:sz w:val="34"/>
          <w:szCs w:val="34"/>
        </w:rPr>
        <w:t>（三）民事检察存在薄弱环节，法律监督职能发挥不充分</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1.在民事支持起诉工作开展范围有限方面。</w:t>
      </w:r>
      <w:r>
        <w:rPr>
          <w:rFonts w:hint="default" w:ascii="黑体" w:hAnsi="黑体" w:eastAsia="黑体" w:cs="黑体"/>
          <w:b w:val="0"/>
          <w:bCs w:val="0"/>
          <w:sz w:val="34"/>
          <w:szCs w:val="34"/>
        </w:rPr>
        <w:t>一是</w:t>
      </w:r>
      <w:r>
        <w:rPr>
          <w:rFonts w:hint="default" w:ascii="Times New Roman" w:hAnsi="Times New Roman" w:eastAsia="方正仿宋简体" w:cs="Times New Roman"/>
          <w:sz w:val="34"/>
          <w:szCs w:val="34"/>
        </w:rPr>
        <w:t>建立协作机制。积极走访妇联，围绕支持起诉工作开展深入交流与协作，研究建立信息共享、案件共商、线索移送等长效工作机制。</w:t>
      </w:r>
      <w:r>
        <w:rPr>
          <w:rFonts w:hint="default" w:ascii="黑体" w:hAnsi="黑体" w:eastAsia="黑体" w:cs="黑体"/>
          <w:b w:val="0"/>
          <w:bCs w:val="0"/>
          <w:sz w:val="34"/>
          <w:szCs w:val="34"/>
        </w:rPr>
        <w:t>二是</w:t>
      </w:r>
      <w:r>
        <w:rPr>
          <w:rFonts w:hint="default" w:ascii="Times New Roman" w:hAnsi="Times New Roman" w:eastAsia="方正仿宋简体" w:cs="Times New Roman"/>
          <w:sz w:val="34"/>
          <w:szCs w:val="34"/>
        </w:rPr>
        <w:t>挖掘案件线索。通过走访法院，了解到一妇女和丈夫发生矛盾，其丈夫离家至今未归，未履行法定抚养及照料未成年子女的义务，立即受理该案向法院发出支持起诉意见书，目前法院已立案。</w:t>
      </w:r>
    </w:p>
    <w:p>
      <w:pPr>
        <w:widowControl w:val="0"/>
        <w:wordWrap/>
        <w:adjustRightInd/>
        <w:snapToGrid/>
        <w:spacing w:before="0" w:after="0" w:line="579" w:lineRule="exact"/>
        <w:ind w:left="0" w:leftChars="0" w:right="0" w:firstLine="640" w:firstLineChars="200"/>
        <w:textAlignment w:val="auto"/>
        <w:outlineLvl w:val="9"/>
        <w:rPr>
          <w:rFonts w:hint="default" w:ascii="方正楷体简体" w:hAnsi="方正楷体简体" w:eastAsia="方正楷体简体" w:cs="方正楷体简体"/>
          <w:bCs/>
          <w:sz w:val="34"/>
          <w:szCs w:val="34"/>
        </w:rPr>
      </w:pPr>
      <w:r>
        <w:rPr>
          <w:rFonts w:hint="default" w:ascii="方正楷体简体" w:hAnsi="方正楷体简体" w:eastAsia="方正楷体简体" w:cs="方正楷体简体"/>
          <w:bCs/>
          <w:sz w:val="34"/>
          <w:szCs w:val="34"/>
        </w:rPr>
        <w:t>（四）行政检察监督意识不强，监督领域不均衡</w:t>
      </w:r>
    </w:p>
    <w:p>
      <w:pPr>
        <w:widowControl w:val="0"/>
        <w:wordWrap/>
        <w:adjustRightInd/>
        <w:snapToGrid/>
        <w:spacing w:before="0" w:after="0" w:line="579" w:lineRule="exact"/>
        <w:ind w:left="0" w:leftChars="0" w:right="0" w:firstLine="640" w:firstLineChars="200"/>
        <w:jc w:val="left"/>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1.在行刑反向衔接工作开展效果不好方面。</w:t>
      </w:r>
      <w:r>
        <w:rPr>
          <w:rFonts w:hint="default" w:ascii="黑体" w:hAnsi="黑体" w:eastAsia="黑体" w:cs="黑体"/>
          <w:b w:val="0"/>
          <w:bCs w:val="0"/>
          <w:sz w:val="34"/>
          <w:szCs w:val="34"/>
        </w:rPr>
        <w:t>一是</w:t>
      </w:r>
      <w:r>
        <w:rPr>
          <w:rFonts w:hint="default" w:ascii="Times New Roman" w:hAnsi="Times New Roman" w:eastAsia="方正仿宋简体" w:cs="Times New Roman"/>
          <w:sz w:val="34"/>
          <w:szCs w:val="34"/>
        </w:rPr>
        <w:t>认真落实《人民检察院行刑反向衔接工作指引》，已办理行刑反向衔接案件3件。其中1件向行政机关发出检察意见建议对被不起诉人就行相应的行政处罚，后续会跟踪处罚结果的相关情况。组织学习《行刑反向衔接典型案例（第三批）》，致力解决实践难点，聚焦突出问题、难点问题，撰写典型案例一篇已上报市院。</w:t>
      </w:r>
      <w:r>
        <w:rPr>
          <w:rFonts w:hint="default" w:ascii="黑体" w:hAnsi="黑体" w:eastAsia="黑体" w:cs="黑体"/>
          <w:b w:val="0"/>
          <w:bCs w:val="0"/>
          <w:sz w:val="34"/>
          <w:szCs w:val="34"/>
        </w:rPr>
        <w:t>二是</w:t>
      </w:r>
      <w:r>
        <w:rPr>
          <w:rFonts w:hint="default" w:ascii="Times New Roman" w:hAnsi="Times New Roman" w:eastAsia="方正仿宋简体" w:cs="Times New Roman"/>
          <w:sz w:val="34"/>
          <w:szCs w:val="34"/>
        </w:rPr>
        <w:t>与司法行政机关建立协作机制，与区司法局联合会签《振安区行刑反向衔接工作办法》文件。</w:t>
      </w:r>
    </w:p>
    <w:p>
      <w:pPr>
        <w:widowControl w:val="0"/>
        <w:wordWrap/>
        <w:adjustRightInd/>
        <w:snapToGrid/>
        <w:spacing w:before="0" w:after="0" w:line="579" w:lineRule="exact"/>
        <w:ind w:left="0" w:leftChars="0" w:right="0" w:firstLine="640" w:firstLineChars="200"/>
        <w:jc w:val="left"/>
        <w:textAlignment w:val="auto"/>
        <w:outlineLvl w:val="9"/>
        <w:rPr>
          <w:rFonts w:hint="eastAsia" w:ascii="方正楷体简体" w:hAnsi="方正楷体简体" w:eastAsia="方正楷体简体" w:cs="方正楷体简体"/>
          <w:bCs/>
          <w:sz w:val="34"/>
          <w:szCs w:val="34"/>
        </w:rPr>
      </w:pPr>
      <w:r>
        <w:rPr>
          <w:rFonts w:hint="eastAsia" w:ascii="方正楷体简体" w:hAnsi="方正楷体简体" w:eastAsia="方正楷体简体" w:cs="方正楷体简体"/>
          <w:bCs/>
          <w:sz w:val="34"/>
          <w:szCs w:val="34"/>
        </w:rPr>
        <w:t>（五）公益诉讼检察监督效果不实，协同机制发挥作用有限</w:t>
      </w:r>
    </w:p>
    <w:p>
      <w:pPr>
        <w:widowControl w:val="0"/>
        <w:wordWrap/>
        <w:adjustRightInd/>
        <w:snapToGrid/>
        <w:spacing w:before="0" w:after="0" w:line="579" w:lineRule="exact"/>
        <w:ind w:left="0" w:leftChars="0" w:right="0" w:firstLine="640" w:firstLineChars="200"/>
        <w:jc w:val="left"/>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1.在办案领域覆盖不全面方面。</w:t>
      </w:r>
      <w:r>
        <w:rPr>
          <w:rFonts w:hint="default" w:ascii="黑体" w:hAnsi="黑体" w:eastAsia="黑体" w:cs="黑体"/>
          <w:b w:val="0"/>
          <w:bCs w:val="0"/>
          <w:sz w:val="34"/>
          <w:szCs w:val="34"/>
        </w:rPr>
        <w:t>一是</w:t>
      </w:r>
      <w:r>
        <w:rPr>
          <w:rFonts w:hint="default" w:ascii="Times New Roman" w:hAnsi="Times New Roman" w:eastAsia="方正仿宋简体" w:cs="Times New Roman"/>
          <w:sz w:val="34"/>
          <w:szCs w:val="34"/>
        </w:rPr>
        <w:t>结合实际情况，制定科学合理的公益诉讼办案计划，明确各领域案件的办理目标和重点，结合大数据等技术手段，系统性针对性的调查情况，发现问题线索。</w:t>
      </w:r>
      <w:r>
        <w:rPr>
          <w:rFonts w:hint="default" w:ascii="黑体" w:hAnsi="黑体" w:eastAsia="黑体" w:cs="黑体"/>
          <w:b w:val="0"/>
          <w:bCs w:val="0"/>
          <w:sz w:val="34"/>
          <w:szCs w:val="34"/>
        </w:rPr>
        <w:t>二是</w:t>
      </w:r>
      <w:r>
        <w:rPr>
          <w:rFonts w:hint="default" w:ascii="Times New Roman" w:hAnsi="Times New Roman" w:eastAsia="方正仿宋简体" w:cs="Times New Roman"/>
          <w:sz w:val="34"/>
          <w:szCs w:val="34"/>
        </w:rPr>
        <w:t>开展加强业务学习，对大数据平台、高质效平台的典型案例进行学习归纳总结，提升专业素养和办案能力。</w:t>
      </w:r>
      <w:r>
        <w:rPr>
          <w:rFonts w:hint="default" w:ascii="黑体" w:hAnsi="黑体" w:eastAsia="黑体" w:cs="黑体"/>
          <w:b w:val="0"/>
          <w:bCs w:val="0"/>
          <w:sz w:val="34"/>
          <w:szCs w:val="34"/>
        </w:rPr>
        <w:t>三是</w:t>
      </w:r>
      <w:r>
        <w:rPr>
          <w:rFonts w:hint="default" w:ascii="Times New Roman" w:hAnsi="Times New Roman" w:eastAsia="方正仿宋简体" w:cs="Times New Roman"/>
          <w:sz w:val="34"/>
          <w:szCs w:val="34"/>
        </w:rPr>
        <w:t>制定重点监督领域，着力加强食品药品安全领域检察公益诉讼，2025年截止到目前共办理公益诉讼案件28件，其中，涉及药品安全领域案件1件，食品安全领域案件9件，妨碍河道行洪安全案件5件，个人信息保护领域案件7件，无障碍设施建设案件1件，军人权益保护1件，生态环境保护领域案件4件（占比由66.7%降为14.28%）。个人信息保护案件、无障碍设施建设案件和军人权益保护案件均为我院首次办理。</w:t>
      </w:r>
    </w:p>
    <w:p>
      <w:pPr>
        <w:widowControl w:val="0"/>
        <w:wordWrap/>
        <w:adjustRightInd/>
        <w:snapToGrid/>
        <w:spacing w:before="0" w:after="0" w:line="579" w:lineRule="exact"/>
        <w:ind w:left="0" w:leftChars="0" w:right="0" w:firstLine="640" w:firstLineChars="200"/>
        <w:jc w:val="left"/>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2.在与行政执法机关合作协调不紧密方面。</w:t>
      </w:r>
      <w:r>
        <w:rPr>
          <w:rFonts w:hint="default" w:ascii="黑体" w:hAnsi="黑体" w:eastAsia="黑体" w:cs="黑体"/>
          <w:b w:val="0"/>
          <w:bCs w:val="0"/>
          <w:sz w:val="34"/>
          <w:szCs w:val="34"/>
        </w:rPr>
        <w:t>一是</w:t>
      </w:r>
      <w:r>
        <w:rPr>
          <w:rFonts w:hint="default" w:ascii="Times New Roman" w:hAnsi="Times New Roman" w:eastAsia="方正仿宋简体" w:cs="Times New Roman"/>
          <w:sz w:val="34"/>
          <w:szCs w:val="34"/>
        </w:rPr>
        <w:t>建立健全检察机关与行政执法机关的合作协调机制，确保信息畅通、资源共享。同时在办理无障碍环境建设案件中，与人大代表进行座谈，听取其意见建议，另外邀请残联工作人员协助检察机关人员开展调查工作，提供专业指导,并会签《关于在残疾人权益保障诉讼中加强协作配合的意见》，就信息共享、线索移送、办案协作、业务交流、法治宣传及理论研究等方面达成共识，</w:t>
      </w:r>
      <w:r>
        <w:rPr>
          <w:rFonts w:hint="default" w:ascii="黑体" w:hAnsi="黑体" w:eastAsia="黑体" w:cs="黑体"/>
          <w:b w:val="0"/>
          <w:bCs w:val="0"/>
          <w:sz w:val="34"/>
          <w:szCs w:val="34"/>
        </w:rPr>
        <w:t>二是</w:t>
      </w:r>
      <w:r>
        <w:rPr>
          <w:rFonts w:hint="default" w:ascii="Times New Roman" w:hAnsi="Times New Roman" w:eastAsia="方正仿宋简体" w:cs="Times New Roman"/>
          <w:sz w:val="34"/>
          <w:szCs w:val="34"/>
        </w:rPr>
        <w:t>积极与行政机关沟通联系，与相关行政机关进行会商，签署相关文件机制，促进良性互动，形成保护公益的合力。目前准备根据办理的无障碍环境建设及军人权益保护案件，做好后半篇文章，在案件经请示市院批复办理后，与残联等相关部门针对相关领域制定会签文件。</w:t>
      </w:r>
      <w:r>
        <w:rPr>
          <w:rFonts w:hint="default" w:ascii="黑体" w:hAnsi="黑体" w:eastAsia="黑体" w:cs="黑体"/>
          <w:b w:val="0"/>
          <w:bCs w:val="0"/>
          <w:sz w:val="34"/>
          <w:szCs w:val="34"/>
        </w:rPr>
        <w:t>三是</w:t>
      </w:r>
      <w:r>
        <w:rPr>
          <w:rFonts w:hint="default" w:ascii="Times New Roman" w:hAnsi="Times New Roman" w:eastAsia="方正仿宋简体" w:cs="Times New Roman"/>
          <w:sz w:val="34"/>
          <w:szCs w:val="34"/>
        </w:rPr>
        <w:t>通过本院办理的高层民用建筑消防安全案件，推动召开应急局、消防救援局、各镇街、公安振安分局的联席会议，就《关于深入开展高层民用建筑消防安全专项整治工作方案》进行座谈，达成一致意见，并推动全区制定深入开展高层民用建筑消防安全专项整治工作方案。</w:t>
      </w:r>
    </w:p>
    <w:p>
      <w:pPr>
        <w:widowControl w:val="0"/>
        <w:wordWrap/>
        <w:adjustRightInd/>
        <w:snapToGrid/>
        <w:spacing w:before="0" w:after="0" w:line="579" w:lineRule="exact"/>
        <w:ind w:left="0" w:leftChars="0" w:right="0" w:firstLine="640"/>
        <w:textAlignment w:val="auto"/>
        <w:outlineLvl w:val="9"/>
        <w:rPr>
          <w:rFonts w:hint="eastAsia" w:ascii="方正楷体简体" w:hAnsi="方正楷体简体" w:eastAsia="方正楷体简体" w:cs="方正楷体简体"/>
          <w:bCs/>
          <w:sz w:val="34"/>
          <w:szCs w:val="34"/>
        </w:rPr>
      </w:pPr>
      <w:r>
        <w:rPr>
          <w:rFonts w:hint="eastAsia" w:ascii="方正楷体简体" w:hAnsi="方正楷体简体" w:eastAsia="方正楷体简体" w:cs="方正楷体简体"/>
          <w:bCs/>
          <w:sz w:val="34"/>
          <w:szCs w:val="34"/>
        </w:rPr>
        <w:t>（六）推进全面从严治党不深入，财务制度执行不规范</w:t>
      </w:r>
    </w:p>
    <w:p>
      <w:pPr>
        <w:widowControl w:val="0"/>
        <w:wordWrap/>
        <w:adjustRightInd/>
        <w:snapToGrid/>
        <w:spacing w:before="0" w:after="0" w:line="579" w:lineRule="exact"/>
        <w:ind w:left="0" w:leftChars="0" w:right="0" w:firstLine="640" w:firstLineChars="200"/>
        <w:jc w:val="left"/>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1.在两个责任压得不实方面。</w:t>
      </w:r>
      <w:r>
        <w:rPr>
          <w:rFonts w:hint="default" w:ascii="黑体" w:hAnsi="黑体" w:eastAsia="黑体" w:cs="黑体"/>
          <w:b w:val="0"/>
          <w:bCs w:val="0"/>
          <w:sz w:val="34"/>
          <w:szCs w:val="34"/>
        </w:rPr>
        <w:t>一是</w:t>
      </w:r>
      <w:r>
        <w:rPr>
          <w:rFonts w:hint="default" w:ascii="Times New Roman" w:hAnsi="Times New Roman" w:eastAsia="方正仿宋简体" w:cs="Times New Roman"/>
          <w:sz w:val="34"/>
          <w:szCs w:val="34"/>
        </w:rPr>
        <w:t>2025年3月18日，召开专题党组会，研究制定全面从严治党主体责任清单，并落实落细年度工作任务。</w:t>
      </w:r>
      <w:r>
        <w:rPr>
          <w:rFonts w:hint="default" w:ascii="黑体" w:hAnsi="黑体" w:eastAsia="黑体" w:cs="黑体"/>
          <w:b w:val="0"/>
          <w:bCs w:val="0"/>
          <w:sz w:val="34"/>
          <w:szCs w:val="34"/>
        </w:rPr>
        <w:t>二是</w:t>
      </w:r>
      <w:r>
        <w:rPr>
          <w:rFonts w:hint="default" w:ascii="Times New Roman" w:hAnsi="Times New Roman" w:eastAsia="方正仿宋简体" w:cs="Times New Roman"/>
          <w:sz w:val="34"/>
          <w:szCs w:val="34"/>
        </w:rPr>
        <w:t>树立先进导向，严肃工作纪律，加强干警管理教育，在考勤、通报、请销假、日常工作跟进监督，激发凝聚干事创业热情，树立能者上庸者下的积极氛围。进一步落实院领导、部门主任、条线负责人的“一岗双责”责任，调整廉政谈话方式和范围，除集体谈话外，增加了针对关键岗位和重要事项的个别谈话。同时，建立廉政谈话档案，记录谈话内容，跟踪谈话效果，确保廉政谈话的针对性和实效性，切实发挥廉政谈话在预防腐败中的作用。</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2.在执行财务制度不严格方面。</w:t>
      </w:r>
      <w:r>
        <w:rPr>
          <w:rFonts w:hint="default" w:ascii="黑体" w:hAnsi="黑体" w:eastAsia="黑体" w:cs="黑体"/>
          <w:b w:val="0"/>
          <w:bCs w:val="0"/>
          <w:sz w:val="34"/>
          <w:szCs w:val="34"/>
        </w:rPr>
        <w:t>一是</w:t>
      </w:r>
      <w:r>
        <w:rPr>
          <w:rFonts w:hint="default" w:ascii="Times New Roman" w:hAnsi="Times New Roman" w:eastAsia="方正仿宋简体" w:cs="Times New Roman"/>
          <w:sz w:val="34"/>
          <w:szCs w:val="34"/>
        </w:rPr>
        <w:t>从2024年1月份开始，将相关完税凭证订入会计账册，形成工资扣缴后附凭证闭环。</w:t>
      </w:r>
      <w:r>
        <w:rPr>
          <w:rFonts w:hint="default" w:ascii="黑体" w:hAnsi="黑体" w:eastAsia="黑体" w:cs="黑体"/>
          <w:b w:val="0"/>
          <w:bCs w:val="0"/>
          <w:sz w:val="34"/>
          <w:szCs w:val="34"/>
        </w:rPr>
        <w:t>二是</w:t>
      </w:r>
      <w:r>
        <w:rPr>
          <w:rFonts w:hint="default" w:ascii="Times New Roman" w:hAnsi="Times New Roman" w:eastAsia="方正仿宋简体" w:cs="Times New Roman"/>
          <w:sz w:val="34"/>
          <w:szCs w:val="34"/>
        </w:rPr>
        <w:t>与代理银行沟通，从2024年9月份开始，将银行为每名干警的打卡明细已订入凭证，并与政治部劳资沟通，确保每一张表单均有签字。同时</w:t>
      </w:r>
      <w:r>
        <w:rPr>
          <w:rFonts w:hint="default" w:ascii="Times New Roman" w:hAnsi="Times New Roman" w:eastAsia="方正仿宋简体" w:cs="Times New Roman"/>
          <w:bCs/>
          <w:sz w:val="34"/>
          <w:szCs w:val="34"/>
        </w:rPr>
        <w:t>组</w:t>
      </w:r>
      <w:r>
        <w:rPr>
          <w:rFonts w:hint="default" w:ascii="Times New Roman" w:hAnsi="Times New Roman" w:eastAsia="方正仿宋简体" w:cs="Times New Roman"/>
          <w:sz w:val="34"/>
          <w:szCs w:val="34"/>
        </w:rPr>
        <w:t>织财务人员加强学习，杜绝经验主义，严格审核每一张表单，杜绝此类现象的发生。</w:t>
      </w:r>
    </w:p>
    <w:p>
      <w:pPr>
        <w:widowControl w:val="0"/>
        <w:wordWrap/>
        <w:adjustRightInd/>
        <w:snapToGrid/>
        <w:spacing w:before="0" w:after="0" w:line="579" w:lineRule="exact"/>
        <w:ind w:left="0" w:leftChars="0" w:right="0" w:firstLine="643" w:firstLineChars="200"/>
        <w:textAlignment w:val="auto"/>
        <w:outlineLvl w:val="9"/>
        <w:rPr>
          <w:rFonts w:hint="eastAsia" w:ascii="方正楷体简体" w:hAnsi="方正楷体简体" w:eastAsia="方正楷体简体" w:cs="方正楷体简体"/>
          <w:b w:val="0"/>
          <w:bCs/>
          <w:sz w:val="34"/>
          <w:szCs w:val="34"/>
          <w:lang w:eastAsia="zh-CN"/>
        </w:rPr>
      </w:pPr>
      <w:r>
        <w:rPr>
          <w:rFonts w:hint="eastAsia" w:ascii="方正楷体简体" w:hAnsi="方正楷体简体" w:eastAsia="方正楷体简体" w:cs="方正楷体简体"/>
          <w:b w:val="0"/>
          <w:bCs/>
          <w:sz w:val="34"/>
          <w:szCs w:val="34"/>
          <w:lang w:eastAsia="zh-CN"/>
        </w:rPr>
        <w:t>（</w:t>
      </w:r>
      <w:r>
        <w:rPr>
          <w:rFonts w:hint="eastAsia" w:ascii="方正楷体简体" w:hAnsi="方正楷体简体" w:eastAsia="方正楷体简体" w:cs="方正楷体简体"/>
          <w:b w:val="0"/>
          <w:bCs/>
          <w:sz w:val="34"/>
          <w:szCs w:val="34"/>
        </w:rPr>
        <w:t>七</w:t>
      </w:r>
      <w:r>
        <w:rPr>
          <w:rFonts w:hint="eastAsia" w:ascii="方正楷体简体" w:hAnsi="方正楷体简体" w:eastAsia="方正楷体简体" w:cs="方正楷体简体"/>
          <w:b w:val="0"/>
          <w:bCs/>
          <w:sz w:val="34"/>
          <w:szCs w:val="34"/>
          <w:lang w:eastAsia="zh-CN"/>
        </w:rPr>
        <w:t>）落实党建工作责任制意识不强，干部队伍建设有差距</w:t>
      </w:r>
    </w:p>
    <w:p>
      <w:pPr>
        <w:widowControl w:val="0"/>
        <w:wordWrap/>
        <w:adjustRightInd/>
        <w:snapToGrid/>
        <w:spacing w:before="0" w:after="0" w:line="579" w:lineRule="exact"/>
        <w:ind w:left="0" w:leftChars="0" w:right="0" w:firstLine="64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bCs/>
          <w:sz w:val="34"/>
          <w:szCs w:val="34"/>
        </w:rPr>
        <w:t>1.在队伍建设有缺失方面。</w:t>
      </w:r>
      <w:r>
        <w:rPr>
          <w:rFonts w:hint="default" w:ascii="黑体" w:hAnsi="黑体" w:eastAsia="黑体" w:cs="黑体"/>
          <w:b w:val="0"/>
          <w:bCs w:val="0"/>
          <w:sz w:val="34"/>
          <w:szCs w:val="34"/>
        </w:rPr>
        <w:t>一是</w:t>
      </w:r>
      <w:r>
        <w:rPr>
          <w:rFonts w:hint="default" w:ascii="Times New Roman" w:hAnsi="Times New Roman" w:eastAsia="方正仿宋简体" w:cs="Times New Roman"/>
          <w:sz w:val="34"/>
          <w:szCs w:val="34"/>
        </w:rPr>
        <w:t>聚焦检察队伍建设人才所需，进一步加强干部选拔培养使用管理，围绕业务标兵、业务骨干，特别是在重点工作开展、重大案件办理中勇挑重任、在全国、省、市业务竞赛成绩突出、在日常工作勤勉踏实的干部加大培养力度，充分运用考察考核、评优评先结果，综合评定检察干警综合素质，择优选拔任用。2025年2月已配备1人（第三检察部副主任），2025年8月26日上午，我院又考察选拔了2名业务部门副主任。</w:t>
      </w:r>
      <w:r>
        <w:rPr>
          <w:rFonts w:hint="default" w:ascii="黑体" w:hAnsi="黑体" w:eastAsia="黑体" w:cs="黑体"/>
          <w:b w:val="0"/>
          <w:bCs w:val="0"/>
          <w:sz w:val="34"/>
          <w:szCs w:val="34"/>
        </w:rPr>
        <w:t>二是</w:t>
      </w:r>
      <w:r>
        <w:rPr>
          <w:rFonts w:hint="default" w:ascii="Times New Roman" w:hAnsi="Times New Roman" w:eastAsia="方正仿宋简体" w:cs="Times New Roman"/>
          <w:sz w:val="34"/>
          <w:szCs w:val="34"/>
        </w:rPr>
        <w:t>2025年5月27日，已完成对领导班子成员的分工调整，目前不存在分管同一工作满5年未调整的情况。</w:t>
      </w:r>
    </w:p>
    <w:p>
      <w:pPr>
        <w:widowControl w:val="0"/>
        <w:wordWrap/>
        <w:adjustRightInd/>
        <w:snapToGrid/>
        <w:spacing w:before="0" w:after="0" w:line="579" w:lineRule="exact"/>
        <w:ind w:left="0" w:leftChars="0" w:right="0" w:firstLine="640" w:firstLineChars="200"/>
        <w:jc w:val="left"/>
        <w:textAlignment w:val="auto"/>
        <w:outlineLvl w:val="9"/>
        <w:rPr>
          <w:rFonts w:hint="default" w:ascii="Times New Roman" w:hAnsi="Times New Roman" w:eastAsia="方正仿宋简体" w:cs="Times New Roman"/>
          <w:bCs/>
          <w:sz w:val="34"/>
          <w:szCs w:val="34"/>
        </w:rPr>
      </w:pPr>
      <w:r>
        <w:rPr>
          <w:rFonts w:hint="default" w:ascii="Times New Roman" w:hAnsi="Times New Roman" w:eastAsia="方正仿宋简体" w:cs="Times New Roman"/>
          <w:b/>
          <w:bCs/>
          <w:sz w:val="34"/>
          <w:szCs w:val="34"/>
        </w:rPr>
        <w:t>2.在党支部规范化建设有弱项，落实“三重一大”制度不严格方面。</w:t>
      </w:r>
      <w:r>
        <w:rPr>
          <w:rFonts w:hint="default" w:ascii="黑体" w:hAnsi="黑体" w:eastAsia="黑体" w:cs="黑体"/>
          <w:b w:val="0"/>
          <w:bCs w:val="0"/>
          <w:sz w:val="34"/>
          <w:szCs w:val="34"/>
        </w:rPr>
        <w:t>一是</w:t>
      </w:r>
      <w:r>
        <w:rPr>
          <w:rFonts w:hint="default" w:ascii="Times New Roman" w:hAnsi="Times New Roman" w:eastAsia="方正仿宋简体" w:cs="Times New Roman"/>
          <w:sz w:val="34"/>
          <w:szCs w:val="34"/>
        </w:rPr>
        <w:t>2025年4月8日召开支委（扩大）会议，集中学习了《全国党员教育培训工作规划2021-2028》等涉及党务工作人员和党员管理的文件内容，并发放了《习近平总书记关于党的建设的重要思想概论》读本。党支部书记与参会人员逐一进行了谈话，强调了党务工作者的重要性，巩固了我院党务工作人员队伍的稳定性。4月10日，我院党支部与鸭绿江街道办事处东泰社区党支部以“共商党建新思路，携手共进促提升”为主题召开了一次党建工作座谈会，向东泰社区党支部学习了在党建方面的先进经验。</w:t>
      </w:r>
      <w:r>
        <w:rPr>
          <w:rFonts w:hint="default" w:ascii="黑体" w:hAnsi="黑体" w:eastAsia="黑体" w:cs="黑体"/>
          <w:b w:val="0"/>
          <w:bCs w:val="0"/>
          <w:sz w:val="34"/>
          <w:szCs w:val="34"/>
        </w:rPr>
        <w:t>二是</w:t>
      </w:r>
      <w:r>
        <w:rPr>
          <w:rFonts w:hint="default" w:ascii="Times New Roman" w:hAnsi="Times New Roman" w:eastAsia="方正仿宋简体" w:cs="Times New Roman"/>
          <w:sz w:val="34"/>
          <w:szCs w:val="34"/>
        </w:rPr>
        <w:t>2024年11月4日已进行了</w:t>
      </w:r>
      <w:r>
        <w:rPr>
          <w:rFonts w:hint="default" w:ascii="Times New Roman" w:hAnsi="Times New Roman" w:eastAsia="方正仿宋简体" w:cs="Times New Roman"/>
          <w:sz w:val="34"/>
          <w:szCs w:val="34"/>
          <w:lang w:val="en-US" w:eastAsia="zh-CN"/>
        </w:rPr>
        <w:t>中共丹东市振安区人民检察院党</w:t>
      </w:r>
      <w:r>
        <w:rPr>
          <w:rFonts w:hint="default" w:ascii="Times New Roman" w:hAnsi="Times New Roman" w:eastAsia="方正仿宋简体" w:cs="Times New Roman"/>
          <w:sz w:val="34"/>
          <w:szCs w:val="34"/>
        </w:rPr>
        <w:t>支部书记的改选和任命。</w:t>
      </w:r>
    </w:p>
    <w:p>
      <w:pPr>
        <w:widowControl w:val="0"/>
        <w:wordWrap/>
        <w:adjustRightInd/>
        <w:snapToGrid/>
        <w:spacing w:before="0" w:after="0" w:line="579" w:lineRule="exact"/>
        <w:ind w:left="0" w:leftChars="0" w:right="0" w:firstLine="640" w:firstLineChars="200"/>
        <w:textAlignment w:val="auto"/>
        <w:outlineLvl w:val="9"/>
        <w:rPr>
          <w:rFonts w:hint="default" w:ascii="黑体" w:hAnsi="黑体" w:eastAsia="黑体" w:cs="黑体"/>
          <w:b w:val="0"/>
          <w:bCs w:val="0"/>
          <w:sz w:val="34"/>
          <w:szCs w:val="34"/>
        </w:rPr>
      </w:pPr>
      <w:r>
        <w:rPr>
          <w:rFonts w:hint="eastAsia" w:ascii="黑体" w:hAnsi="黑体" w:eastAsia="黑体" w:cs="黑体"/>
          <w:b w:val="0"/>
          <w:bCs w:val="0"/>
          <w:sz w:val="34"/>
          <w:szCs w:val="34"/>
          <w:lang w:eastAsia="zh-CN"/>
        </w:rPr>
        <w:t>三</w:t>
      </w:r>
      <w:r>
        <w:rPr>
          <w:rFonts w:hint="default" w:ascii="黑体" w:hAnsi="黑体" w:eastAsia="黑体" w:cs="黑体"/>
          <w:b w:val="0"/>
          <w:bCs w:val="0"/>
          <w:sz w:val="34"/>
          <w:szCs w:val="34"/>
        </w:rPr>
        <w:t>、下一步工作打算及计划</w:t>
      </w:r>
    </w:p>
    <w:p>
      <w:pPr>
        <w:widowControl w:val="0"/>
        <w:wordWrap/>
        <w:adjustRightInd/>
        <w:snapToGrid/>
        <w:spacing w:before="0" w:after="0" w:line="579" w:lineRule="exact"/>
        <w:ind w:left="0" w:leftChars="0" w:right="0" w:firstLine="643" w:firstLineChars="200"/>
        <w:textAlignment w:val="auto"/>
        <w:outlineLvl w:val="9"/>
        <w:rPr>
          <w:rFonts w:hint="default" w:ascii="Times New Roman" w:hAnsi="Times New Roman" w:eastAsia="方正仿宋简体" w:cs="Times New Roman"/>
          <w:bCs/>
          <w:sz w:val="34"/>
          <w:szCs w:val="34"/>
        </w:rPr>
      </w:pPr>
      <w:r>
        <w:rPr>
          <w:rFonts w:hint="eastAsia" w:ascii="方正楷体简体" w:hAnsi="方正楷体简体" w:eastAsia="方正楷体简体" w:cs="方正楷体简体"/>
          <w:b w:val="0"/>
          <w:bCs/>
          <w:sz w:val="34"/>
          <w:szCs w:val="34"/>
          <w:lang w:eastAsia="zh-CN"/>
        </w:rPr>
        <w:t>（一）</w:t>
      </w:r>
      <w:r>
        <w:rPr>
          <w:rFonts w:hint="default" w:ascii="方正楷体简体" w:hAnsi="方正楷体简体" w:eastAsia="方正楷体简体" w:cs="方正楷体简体"/>
          <w:b w:val="0"/>
          <w:bCs/>
          <w:sz w:val="34"/>
          <w:szCs w:val="34"/>
          <w:lang w:eastAsia="zh-CN"/>
        </w:rPr>
        <w:t>深化思想认知，筑牢整改根基</w:t>
      </w:r>
      <w:r>
        <w:rPr>
          <w:rFonts w:hint="eastAsia" w:ascii="方正楷体简体" w:hAnsi="方正楷体简体" w:eastAsia="方正楷体简体" w:cs="方正楷体简体"/>
          <w:b w:val="0"/>
          <w:bCs/>
          <w:sz w:val="34"/>
          <w:szCs w:val="34"/>
          <w:lang w:eastAsia="zh-CN"/>
        </w:rPr>
        <w:t>。</w:t>
      </w:r>
      <w:r>
        <w:rPr>
          <w:rFonts w:hint="default" w:ascii="Times New Roman" w:hAnsi="Times New Roman" w:eastAsia="方正仿宋简体" w:cs="Times New Roman"/>
          <w:bCs/>
          <w:sz w:val="34"/>
          <w:szCs w:val="34"/>
        </w:rPr>
        <w:t>强化政治引领，严格遵循市委指示，深刻认识巡察整改重要性，增强“四个意识”，将其作为重大政治任务，以高度责任感推动落实。增强行动自觉，杜绝麻痹敷衍，从内心重视整改，以整改推动全面从严治党。坚持全面整改，举一反三剖析问题，深挖根源，从制度等多方面查找原因，制定全面措施，确保整改无死角。</w:t>
      </w:r>
    </w:p>
    <w:p>
      <w:pPr>
        <w:widowControl w:val="0"/>
        <w:wordWrap/>
        <w:adjustRightInd/>
        <w:snapToGrid/>
        <w:spacing w:before="0" w:after="0" w:line="579" w:lineRule="exact"/>
        <w:ind w:left="0" w:leftChars="0" w:right="0" w:firstLine="643" w:firstLineChars="200"/>
        <w:textAlignment w:val="auto"/>
        <w:outlineLvl w:val="9"/>
        <w:rPr>
          <w:rFonts w:hint="default" w:ascii="Times New Roman" w:hAnsi="Times New Roman" w:eastAsia="方正仿宋简体" w:cs="Times New Roman"/>
          <w:bCs/>
          <w:sz w:val="34"/>
          <w:szCs w:val="34"/>
        </w:rPr>
      </w:pPr>
      <w:r>
        <w:rPr>
          <w:rFonts w:hint="eastAsia" w:ascii="方正楷体简体" w:hAnsi="方正楷体简体" w:eastAsia="方正楷体简体" w:cs="方正楷体简体"/>
          <w:b w:val="0"/>
          <w:bCs/>
          <w:sz w:val="34"/>
          <w:szCs w:val="34"/>
          <w:lang w:eastAsia="zh-CN"/>
        </w:rPr>
        <w:t>（二）</w:t>
      </w:r>
      <w:r>
        <w:rPr>
          <w:rFonts w:hint="default" w:ascii="方正楷体简体" w:hAnsi="方正楷体简体" w:eastAsia="方正楷体简体" w:cs="方正楷体简体"/>
          <w:b w:val="0"/>
          <w:bCs/>
          <w:sz w:val="34"/>
          <w:szCs w:val="34"/>
          <w:lang w:eastAsia="zh-CN"/>
        </w:rPr>
        <w:t>聚焦难点问题，持续深化整改</w:t>
      </w:r>
      <w:r>
        <w:rPr>
          <w:rFonts w:hint="eastAsia" w:ascii="方正楷体简体" w:hAnsi="方正楷体简体" w:eastAsia="方正楷体简体" w:cs="方正楷体简体"/>
          <w:b w:val="0"/>
          <w:bCs/>
          <w:sz w:val="34"/>
          <w:szCs w:val="34"/>
          <w:lang w:eastAsia="zh-CN"/>
        </w:rPr>
        <w:t>。</w:t>
      </w:r>
      <w:r>
        <w:rPr>
          <w:rFonts w:hint="default" w:ascii="Times New Roman" w:hAnsi="Times New Roman" w:eastAsia="方正仿宋简体" w:cs="Times New Roman"/>
          <w:bCs/>
          <w:sz w:val="34"/>
          <w:szCs w:val="34"/>
        </w:rPr>
        <w:t>紧盯未完成整改事项，全面梳理分析，找准根源与关键环节，制定详细推进计划，明确时间、责任人与措施，实行挂图作战、销号管理。加强部门协调，形成合力攻克难题，定期推进会掌握进展、解决问题。深化重点领域专项整治，聚焦案件办理等关键环节开展行动，制定方案，排查问题隐患，建立清单台账，逐一整改，完善内控制度。加强整改成果转化，将成果转化为发展动力，从制度层面堵漏洞，与中心工作结合，解决瓶颈问题，提升管理水平与业务能力。</w:t>
      </w:r>
    </w:p>
    <w:p>
      <w:pPr>
        <w:widowControl w:val="0"/>
        <w:wordWrap/>
        <w:adjustRightInd/>
        <w:snapToGrid/>
        <w:spacing w:before="0" w:after="0" w:line="579" w:lineRule="exact"/>
        <w:ind w:left="0" w:leftChars="0" w:right="0" w:firstLine="643" w:firstLineChars="200"/>
        <w:textAlignment w:val="auto"/>
        <w:outlineLvl w:val="9"/>
        <w:rPr>
          <w:rFonts w:hint="default" w:ascii="Times New Roman" w:hAnsi="Times New Roman" w:eastAsia="方正仿宋简体" w:cs="Times New Roman"/>
          <w:bCs/>
          <w:sz w:val="34"/>
          <w:szCs w:val="34"/>
        </w:rPr>
      </w:pPr>
      <w:r>
        <w:rPr>
          <w:rFonts w:hint="eastAsia" w:ascii="方正楷体简体" w:hAnsi="方正楷体简体" w:eastAsia="方正楷体简体" w:cs="方正楷体简体"/>
          <w:b w:val="0"/>
          <w:bCs/>
          <w:sz w:val="34"/>
          <w:szCs w:val="34"/>
          <w:lang w:eastAsia="zh-CN"/>
        </w:rPr>
        <w:t>（三）</w:t>
      </w:r>
      <w:r>
        <w:rPr>
          <w:rFonts w:hint="default" w:ascii="方正楷体简体" w:hAnsi="方正楷体简体" w:eastAsia="方正楷体简体" w:cs="方正楷体简体"/>
          <w:b w:val="0"/>
          <w:bCs/>
          <w:sz w:val="34"/>
          <w:szCs w:val="34"/>
          <w:lang w:eastAsia="zh-CN"/>
        </w:rPr>
        <w:t>加强队伍建设，提升工作能力</w:t>
      </w:r>
      <w:r>
        <w:rPr>
          <w:rFonts w:hint="eastAsia" w:ascii="方正楷体简体" w:hAnsi="方正楷体简体" w:eastAsia="方正楷体简体" w:cs="方正楷体简体"/>
          <w:b w:val="0"/>
          <w:bCs/>
          <w:sz w:val="34"/>
          <w:szCs w:val="34"/>
          <w:lang w:eastAsia="zh-CN"/>
        </w:rPr>
        <w:t>。</w:t>
      </w:r>
      <w:r>
        <w:rPr>
          <w:rFonts w:hint="default" w:ascii="Times New Roman" w:hAnsi="Times New Roman" w:eastAsia="方正仿宋简体" w:cs="Times New Roman"/>
          <w:bCs/>
          <w:sz w:val="34"/>
          <w:szCs w:val="34"/>
        </w:rPr>
        <w:t>强化教育培训，组织专题培训讲解政策要求、流程方法，开展业务知识培训提升干部综合素质。树立正确用人导向，将整改作为考察干部契机，表彰重用优秀干部，问责处理不力干部，营造良好政治生态。加强廉政教育，通过讲座、观影、参观等形式增强廉洁意识，结合典型案例开展以案促改活动，引导干部遵守党纪国法。</w:t>
      </w:r>
    </w:p>
    <w:p>
      <w:pPr>
        <w:widowControl w:val="0"/>
        <w:wordWrap/>
        <w:adjustRightInd/>
        <w:snapToGrid/>
        <w:spacing w:before="0" w:after="0" w:line="579" w:lineRule="exact"/>
        <w:ind w:left="0" w:leftChars="0" w:right="0" w:firstLine="643" w:firstLineChars="200"/>
        <w:textAlignment w:val="auto"/>
        <w:outlineLvl w:val="9"/>
        <w:rPr>
          <w:rFonts w:hint="default" w:ascii="Times New Roman" w:hAnsi="Times New Roman" w:eastAsia="方正仿宋简体" w:cs="Times New Roman"/>
          <w:bCs/>
          <w:sz w:val="34"/>
          <w:szCs w:val="34"/>
        </w:rPr>
      </w:pPr>
      <w:r>
        <w:rPr>
          <w:rFonts w:hint="eastAsia" w:ascii="方正楷体简体" w:hAnsi="方正楷体简体" w:eastAsia="方正楷体简体" w:cs="方正楷体简体"/>
          <w:b w:val="0"/>
          <w:bCs/>
          <w:sz w:val="34"/>
          <w:szCs w:val="34"/>
          <w:lang w:eastAsia="zh-CN"/>
        </w:rPr>
        <w:t>（四）</w:t>
      </w:r>
      <w:r>
        <w:rPr>
          <w:rFonts w:hint="eastAsia" w:ascii="方正楷体简体" w:hAnsi="方正楷体简体" w:eastAsia="方正楷体简体" w:cs="方正楷体简体"/>
          <w:b w:val="0"/>
          <w:bCs/>
          <w:sz w:val="34"/>
          <w:szCs w:val="34"/>
        </w:rPr>
        <w:t>围绕中心大局，促进高质量发展</w:t>
      </w:r>
      <w:r>
        <w:rPr>
          <w:rFonts w:hint="eastAsia" w:ascii="方正楷体简体" w:hAnsi="方正楷体简体" w:eastAsia="方正楷体简体" w:cs="方正楷体简体"/>
          <w:b w:val="0"/>
          <w:bCs/>
          <w:sz w:val="34"/>
          <w:szCs w:val="34"/>
          <w:lang w:eastAsia="zh-CN"/>
        </w:rPr>
        <w:t>。</w:t>
      </w:r>
      <w:r>
        <w:rPr>
          <w:rFonts w:hint="default" w:ascii="Times New Roman" w:hAnsi="Times New Roman" w:eastAsia="方正仿宋简体" w:cs="Times New Roman"/>
          <w:bCs/>
          <w:sz w:val="34"/>
          <w:szCs w:val="34"/>
        </w:rPr>
        <w:t>服务发展大局，将整改与全面振兴新突破三年行动结合，围绕中心找准切入点，以整改成效推动经济社会高质量发展。提升办案质效，与提高办案效率、质量结合，完善工作格局，加强全过程监督管理，规范执法行为。持续推进整改，保持高压态势，责任、力度、标准不降，对已完成任务定期“回头看”，防止反弹；对未完成任务加大力度，加快进度，将整改成果转化为发展动力。</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欢迎广大干部群众对巡察整改落实情况进行监督。如有意见建议，请及时向我们反映。公开期限</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2025年</w:t>
      </w:r>
      <w:r>
        <w:rPr>
          <w:rFonts w:hint="eastAsia" w:ascii="Times New Roman" w:hAnsi="Times New Roman" w:eastAsia="方正仿宋简体" w:cs="Times New Roman"/>
          <w:sz w:val="34"/>
          <w:szCs w:val="34"/>
          <w:lang w:val="en-US" w:eastAsia="zh-CN"/>
        </w:rPr>
        <w:t>11</w:t>
      </w:r>
      <w:r>
        <w:rPr>
          <w:rFonts w:hint="default" w:ascii="Times New Roman" w:hAnsi="Times New Roman" w:eastAsia="方正仿宋简体" w:cs="Times New Roman"/>
          <w:sz w:val="34"/>
          <w:szCs w:val="34"/>
        </w:rPr>
        <w:t>月</w:t>
      </w:r>
      <w:r>
        <w:rPr>
          <w:rFonts w:hint="eastAsia" w:ascii="Times New Roman" w:hAnsi="Times New Roman" w:eastAsia="方正仿宋简体" w:cs="Times New Roman"/>
          <w:sz w:val="34"/>
          <w:szCs w:val="34"/>
          <w:lang w:val="en-US" w:eastAsia="zh-CN"/>
        </w:rPr>
        <w:t>20</w:t>
      </w:r>
      <w:r>
        <w:rPr>
          <w:rFonts w:hint="default" w:ascii="Times New Roman" w:hAnsi="Times New Roman" w:eastAsia="方正仿宋简体" w:cs="Times New Roman"/>
          <w:sz w:val="34"/>
          <w:szCs w:val="34"/>
        </w:rPr>
        <w:t>日至</w:t>
      </w:r>
      <w:r>
        <w:rPr>
          <w:rFonts w:hint="eastAsia" w:ascii="Times New Roman" w:hAnsi="Times New Roman" w:eastAsia="方正仿宋简体" w:cs="Times New Roman"/>
          <w:sz w:val="34"/>
          <w:szCs w:val="34"/>
          <w:lang w:val="en-US" w:eastAsia="zh-CN"/>
        </w:rPr>
        <w:t>12</w:t>
      </w:r>
      <w:r>
        <w:rPr>
          <w:rFonts w:hint="default" w:ascii="Times New Roman" w:hAnsi="Times New Roman" w:eastAsia="方正仿宋简体" w:cs="Times New Roman"/>
          <w:sz w:val="34"/>
          <w:szCs w:val="34"/>
        </w:rPr>
        <w:t>月</w:t>
      </w:r>
      <w:r>
        <w:rPr>
          <w:rFonts w:hint="eastAsia" w:ascii="Times New Roman" w:hAnsi="Times New Roman" w:eastAsia="方正仿宋简体" w:cs="Times New Roman"/>
          <w:sz w:val="34"/>
          <w:szCs w:val="34"/>
          <w:lang w:val="en-US" w:eastAsia="zh-CN"/>
        </w:rPr>
        <w:t>10</w:t>
      </w:r>
      <w:r>
        <w:rPr>
          <w:rFonts w:hint="default" w:ascii="Times New Roman" w:hAnsi="Times New Roman" w:eastAsia="方正仿宋简体" w:cs="Times New Roman"/>
          <w:sz w:val="34"/>
          <w:szCs w:val="34"/>
        </w:rPr>
        <w:t>日。联系电话</w:t>
      </w:r>
      <w:r>
        <w:rPr>
          <w:rFonts w:hint="eastAsia" w:ascii="Times New Roman" w:hAnsi="Times New Roman" w:eastAsia="方正仿宋简体" w:cs="Times New Roman"/>
          <w:sz w:val="34"/>
          <w:szCs w:val="34"/>
          <w:lang w:eastAsia="zh-CN"/>
        </w:rPr>
        <w:t>：</w:t>
      </w:r>
      <w:r>
        <w:rPr>
          <w:rFonts w:hint="eastAsia" w:ascii="Times New Roman" w:hAnsi="Times New Roman" w:eastAsia="方正仿宋简体" w:cs="Times New Roman"/>
          <w:sz w:val="34"/>
          <w:szCs w:val="34"/>
          <w:lang w:val="en-US" w:eastAsia="zh-CN"/>
        </w:rPr>
        <w:t>6276663</w:t>
      </w:r>
      <w:r>
        <w:rPr>
          <w:rFonts w:hint="default" w:ascii="Times New Roman" w:hAnsi="Times New Roman" w:eastAsia="方正仿宋简体" w:cs="Times New Roman"/>
          <w:sz w:val="34"/>
          <w:szCs w:val="34"/>
        </w:rPr>
        <w:t>(工作日9:00-17:00)</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邮政信</w:t>
      </w:r>
      <w:r>
        <w:rPr>
          <w:rFonts w:hint="eastAsia" w:ascii="Times New Roman" w:hAnsi="Times New Roman" w:eastAsia="方正仿宋简体" w:cs="Times New Roman"/>
          <w:sz w:val="34"/>
          <w:szCs w:val="34"/>
          <w:lang w:eastAsia="zh-CN"/>
        </w:rPr>
        <w:t>箱：丹东市振安区九连城镇振安区人民检察院</w:t>
      </w:r>
      <w:r>
        <w:rPr>
          <w:rFonts w:hint="default" w:ascii="Times New Roman" w:hAnsi="Times New Roman" w:eastAsia="方正仿宋简体" w:cs="Times New Roman"/>
          <w:sz w:val="34"/>
          <w:szCs w:val="34"/>
        </w:rPr>
        <w:t>。</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rPr>
      </w:pP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rPr>
      </w:pPr>
    </w:p>
    <w:p>
      <w:pPr>
        <w:widowControl w:val="0"/>
        <w:wordWrap/>
        <w:adjustRightInd/>
        <w:snapToGrid/>
        <w:spacing w:before="0" w:after="0" w:line="579" w:lineRule="exact"/>
        <w:ind w:left="0" w:leftChars="0" w:right="0" w:firstLine="640" w:firstLineChars="200"/>
        <w:jc w:val="right"/>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中共丹东市振安区人民检察院党组</w:t>
      </w:r>
    </w:p>
    <w:p>
      <w:pPr>
        <w:widowControl w:val="0"/>
        <w:wordWrap/>
        <w:adjustRightInd/>
        <w:snapToGrid/>
        <w:spacing w:before="0" w:after="0" w:line="579" w:lineRule="exact"/>
        <w:ind w:left="0" w:leftChars="0" w:right="0" w:firstLine="640" w:firstLineChars="200"/>
        <w:jc w:val="center"/>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 xml:space="preserve">                 </w:t>
      </w:r>
      <w:r>
        <w:rPr>
          <w:rFonts w:hint="eastAsia" w:ascii="Times New Roman" w:hAnsi="Times New Roman" w:eastAsia="方正仿宋简体" w:cs="Times New Roman"/>
          <w:sz w:val="34"/>
          <w:szCs w:val="34"/>
          <w:lang w:val="en-US" w:eastAsia="zh-CN"/>
        </w:rPr>
        <w:t xml:space="preserve">  </w:t>
      </w:r>
      <w:bookmarkStart w:id="0" w:name="_GoBack"/>
      <w:bookmarkEnd w:id="0"/>
      <w:r>
        <w:rPr>
          <w:rFonts w:hint="default" w:ascii="Times New Roman" w:hAnsi="Times New Roman" w:eastAsia="方正仿宋简体" w:cs="Times New Roman"/>
          <w:sz w:val="34"/>
          <w:szCs w:val="34"/>
        </w:rPr>
        <w:t>2025年</w:t>
      </w:r>
      <w:r>
        <w:rPr>
          <w:rFonts w:hint="eastAsia" w:ascii="Times New Roman" w:hAnsi="Times New Roman" w:eastAsia="方正仿宋简体" w:cs="Times New Roman"/>
          <w:sz w:val="34"/>
          <w:szCs w:val="34"/>
          <w:lang w:val="en-US" w:eastAsia="zh-CN"/>
        </w:rPr>
        <w:t>11</w:t>
      </w:r>
      <w:r>
        <w:rPr>
          <w:rFonts w:hint="default" w:ascii="Times New Roman" w:hAnsi="Times New Roman" w:eastAsia="方正仿宋简体" w:cs="Times New Roman"/>
          <w:sz w:val="34"/>
          <w:szCs w:val="34"/>
        </w:rPr>
        <w:t>月</w:t>
      </w:r>
      <w:r>
        <w:rPr>
          <w:rFonts w:hint="eastAsia" w:ascii="Times New Roman" w:hAnsi="Times New Roman" w:eastAsia="方正仿宋简体" w:cs="Times New Roman"/>
          <w:sz w:val="34"/>
          <w:szCs w:val="34"/>
          <w:lang w:val="en-US" w:eastAsia="zh-CN"/>
        </w:rPr>
        <w:t>20</w:t>
      </w:r>
      <w:r>
        <w:rPr>
          <w:rFonts w:hint="default" w:ascii="Times New Roman" w:hAnsi="Times New Roman" w:eastAsia="方正仿宋简体" w:cs="Times New Roman"/>
          <w:sz w:val="34"/>
          <w:szCs w:val="34"/>
        </w:rPr>
        <w:t>日</w:t>
      </w:r>
    </w:p>
    <w:sectPr>
      <w:headerReference r:id="rId4" w:type="default"/>
      <w:footerReference r:id="rId5" w:type="default"/>
      <w:pgSz w:w="11906" w:h="16838"/>
      <w:pgMar w:top="2211" w:right="1531" w:bottom="1871" w:left="1531" w:header="851" w:footer="992" w:gutter="0"/>
      <w:paperSrc w:first="0" w:other="0"/>
      <w:cols w:space="720" w:num="1"/>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宋体" w:cs="黑体"/>
        <w:kern w:val="2"/>
        <w:sz w:val="18"/>
        <w:szCs w:val="18"/>
        <w:lang w:val="en-US" w:eastAsia="zh-CN" w:bidi="ar-SA"/>
      </w:rPr>
      <w:pict>
        <v:shape id="文本框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1"/>
  <w:bordersDoNotSurroundFooter w:val="1"/>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4"/>
      <w:lang w:val="en-US" w:eastAsia="zh-CN" w:bidi="ar-SA"/>
    </w:rPr>
  </w:style>
  <w:style w:type="paragraph" w:styleId="2">
    <w:name w:val="heading 1"/>
    <w:basedOn w:val="1"/>
    <w:next w:val="1"/>
    <w:pPr>
      <w:keepNext/>
      <w:keepLines/>
      <w:spacing w:before="340" w:after="330" w:line="578" w:lineRule="auto"/>
      <w:outlineLvl w:val="0"/>
    </w:pPr>
    <w:rPr>
      <w:b/>
      <w:bCs/>
      <w:kern w:val="44"/>
      <w:sz w:val="44"/>
      <w:szCs w:val="44"/>
    </w:rPr>
  </w:style>
  <w:style w:type="paragraph" w:styleId="3">
    <w:name w:val="heading 2"/>
    <w:basedOn w:val="1"/>
    <w:next w:val="1"/>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tyle>
  <w:style w:type="paragraph" w:styleId="4">
    <w:name w:val="Body Text"/>
    <w:basedOn w:val="1"/>
    <w:next w:val="1"/>
    <w:pPr>
      <w:spacing w:after="120"/>
    </w:pPr>
  </w:style>
  <w:style w:type="paragraph" w:styleId="5">
    <w:name w:val="footer"/>
    <w:basedOn w:val="1"/>
    <w:link w:val="6"/>
    <w:pPr>
      <w:tabs>
        <w:tab w:val="center" w:pos="4153"/>
        <w:tab w:val="right" w:pos="8306"/>
      </w:tabs>
      <w:snapToGrid w:val="0"/>
      <w:jc w:val="left"/>
    </w:pPr>
    <w:rPr>
      <w:rFonts w:ascii="Calibri" w:hAnsi="Calibri" w:eastAsia="宋体" w:cs="黑体"/>
      <w:kern w:val="2"/>
      <w:sz w:val="18"/>
      <w:szCs w:val="18"/>
    </w:rPr>
  </w:style>
  <w:style w:type="character" w:customStyle="1" w:styleId="6">
    <w:name w:val="页脚 Char"/>
    <w:basedOn w:val="7"/>
    <w:link w:val="5"/>
    <w:semiHidden/>
    <w:rPr>
      <w:rFonts w:ascii="Calibri" w:hAnsi="Calibri" w:eastAsia="宋体" w:cs="黑体"/>
      <w:kern w:val="2"/>
      <w:sz w:val="18"/>
      <w:szCs w:val="18"/>
    </w:rPr>
  </w:style>
  <w:style w:type="paragraph" w:styleId="8">
    <w:name w:val="header"/>
    <w:basedOn w:val="1"/>
    <w:link w:val="9"/>
    <w:pPr>
      <w:pBdr>
        <w:bottom w:val="single" w:color="auto" w:sz="6" w:space="1"/>
      </w:pBdr>
      <w:tabs>
        <w:tab w:val="center" w:pos="4153"/>
        <w:tab w:val="right" w:pos="8306"/>
      </w:tabs>
      <w:snapToGrid w:val="0"/>
      <w:jc w:val="center"/>
    </w:pPr>
    <w:rPr>
      <w:rFonts w:ascii="Calibri" w:hAnsi="Calibri" w:eastAsia="宋体" w:cs="黑体"/>
      <w:kern w:val="2"/>
      <w:sz w:val="18"/>
      <w:szCs w:val="18"/>
    </w:rPr>
  </w:style>
  <w:style w:type="character" w:customStyle="1" w:styleId="9">
    <w:name w:val="页眉 Char"/>
    <w:basedOn w:val="7"/>
    <w:link w:val="8"/>
    <w:semiHidden/>
    <w:rPr>
      <w:rFonts w:ascii="Calibri" w:hAnsi="Calibri" w:eastAsia="宋体" w:cs="黑体"/>
      <w:kern w:val="2"/>
      <w:sz w:val="18"/>
      <w:szCs w:val="18"/>
    </w:rPr>
  </w:style>
  <w:style w:type="paragraph" w:customStyle="1" w:styleId="10">
    <w:name w:val="Body Text Indent"/>
    <w:basedOn w:val="1"/>
    <w:pPr>
      <w:ind w:left="420" w:leftChars="200"/>
      <w:jc w:val="left"/>
    </w:pPr>
    <w:rPr>
      <w:rFonts w:ascii="Times New Roman" w:hAnsi="Times New Roman" w:eastAsia="仿宋_GB2312"/>
    </w:rPr>
  </w:style>
  <w:style w:type="paragraph" w:customStyle="1" w:styleId="11">
    <w:name w:val="Normal (Web)"/>
    <w:basedOn w:val="1"/>
    <w:pPr>
      <w:spacing w:beforeAutospacing="1" w:afterAutospacing="1"/>
      <w:jc w:val="left"/>
    </w:pPr>
    <w:rPr>
      <w:rFonts w:cs="Times New Roman"/>
      <w:kern w:val="0"/>
      <w:sz w:val="24"/>
    </w:rPr>
  </w:style>
  <w:style w:type="paragraph" w:customStyle="1" w:styleId="12">
    <w:name w:val="Body Text First Indent"/>
    <w:basedOn w:val="4"/>
    <w:pPr>
      <w:spacing w:after="0"/>
      <w:ind w:firstLine="420" w:firstLineChars="100"/>
    </w:pPr>
    <w:rPr>
      <w:rFonts w:ascii="仿宋_GB2312" w:hAnsi="宋体" w:eastAsia="仿宋_GB2312" w:cs="宋体"/>
      <w:bCs/>
      <w:color w:val="000000"/>
      <w:kern w:val="0"/>
      <w:sz w:val="32"/>
      <w:szCs w:val="32"/>
    </w:rPr>
  </w:style>
  <w:style w:type="paragraph" w:customStyle="1" w:styleId="13">
    <w:name w:val="Body Text First Indent 2"/>
    <w:basedOn w:val="10"/>
    <w:next w:val="12"/>
    <w:pPr>
      <w:ind w:left="0" w:leftChars="0" w:firstLine="420" w:firstLineChars="2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10</Pages>
  <Words>6081</Words>
  <Characters>6213</Characters>
  <Lines>46</Lines>
  <Paragraphs>13</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2025-10-22T06:48:00Z</dcterms:created>
  <dc:creator>Administrator</dc:creator>
  <cp:lastPrinted>2025-11-07T06:07:00Z</cp:lastPrinted>
  <dcterms:modified xsi:type="dcterms:W3CDTF">2025-12-05T14:01:22Z</dcterms:modified>
  <dc:title>Scary Alko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KSOTemplateDocerSaveRecord">
    <vt:lpwstr>eyJoZGlkIjoiMTU0MTdmODhhZWY3NTlkZjcxYTM2MThhNWY2M2VjNWYiLCJ1c2VySWQiOiI2OTA4MTE2OTMifQ==</vt:lpwstr>
  </property>
  <property fmtid="{D5CDD505-2E9C-101B-9397-08002B2CF9AE}" pid="4" name="ICV">
    <vt:lpwstr>69EB4FE59CEA10AF5D1F136925AB11F3_43</vt:lpwstr>
  </property>
</Properties>
</file>