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i w:val="0"/>
          <w:iCs w:val="0"/>
          <w:caps w:val="0"/>
          <w:color w:val="111133"/>
          <w:spacing w:val="0"/>
          <w:sz w:val="44"/>
          <w:szCs w:val="44"/>
        </w:rPr>
      </w:pPr>
      <w:r>
        <w:rPr>
          <w:rFonts w:hint="eastAsia" w:ascii="方正小标宋简体" w:hAnsi="方正小标宋简体" w:eastAsia="方正小标宋简体" w:cs="方正小标宋简体"/>
          <w:i w:val="0"/>
          <w:iCs w:val="0"/>
          <w:caps w:val="0"/>
          <w:color w:val="111133"/>
          <w:spacing w:val="0"/>
          <w:sz w:val="44"/>
          <w:szCs w:val="44"/>
        </w:rPr>
        <w:t>中共丹东市振安区人民法院党组关于</w:t>
      </w:r>
    </w:p>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i w:val="0"/>
          <w:iCs w:val="0"/>
          <w:caps w:val="0"/>
          <w:color w:val="111133"/>
          <w:spacing w:val="0"/>
          <w:sz w:val="44"/>
          <w:szCs w:val="44"/>
          <w:lang w:val="en-US" w:eastAsia="zh-CN"/>
        </w:rPr>
      </w:pPr>
      <w:r>
        <w:rPr>
          <w:rFonts w:hint="eastAsia" w:ascii="方正小标宋简体" w:hAnsi="方正小标宋简体" w:eastAsia="方正小标宋简体" w:cs="方正小标宋简体"/>
          <w:i w:val="0"/>
          <w:iCs w:val="0"/>
          <w:caps w:val="0"/>
          <w:color w:val="111133"/>
          <w:spacing w:val="0"/>
          <w:sz w:val="44"/>
          <w:szCs w:val="44"/>
        </w:rPr>
        <w:t>市委巡察整改落实情况的</w:t>
      </w:r>
      <w:r>
        <w:rPr>
          <w:rFonts w:hint="eastAsia" w:ascii="方正小标宋简体" w:hAnsi="方正小标宋简体" w:eastAsia="方正小标宋简体" w:cs="方正小标宋简体"/>
          <w:i w:val="0"/>
          <w:iCs w:val="0"/>
          <w:caps w:val="0"/>
          <w:color w:val="111133"/>
          <w:spacing w:val="0"/>
          <w:sz w:val="44"/>
          <w:szCs w:val="44"/>
          <w:lang w:val="en-US" w:eastAsia="zh-CN"/>
        </w:rPr>
        <w:t>通报</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r>
        <w:rPr>
          <w:rFonts w:hint="default" w:ascii="Times New Roman" w:hAnsi="Times New Roman" w:eastAsia="方正仿宋简体" w:cs="Times New Roman"/>
          <w:color w:val="000000"/>
          <w:sz w:val="34"/>
          <w:szCs w:val="34"/>
          <w:lang w:val="en-US" w:eastAsia="zh-CN"/>
        </w:rPr>
        <w:t>根据市委和市委巡察工作领导小组统一部署，2024年9月30日至12月30日，市委第五巡察组对中共振安区人民法院党组进行了巡察。2025年2月20日，市委巡察组向中共振安区人民法院党组反馈了巡察意见</w:t>
      </w:r>
      <w:r>
        <w:rPr>
          <w:rFonts w:hint="default" w:ascii="Times New Roman" w:hAnsi="Times New Roman" w:eastAsia="方正仿宋简体" w:cs="Times New Roman"/>
          <w:i w:val="0"/>
          <w:iCs w:val="0"/>
          <w:caps w:val="0"/>
          <w:color w:val="111133"/>
          <w:spacing w:val="0"/>
          <w:sz w:val="34"/>
          <w:szCs w:val="34"/>
        </w:rPr>
        <w:t>。</w:t>
      </w:r>
      <w:r>
        <w:rPr>
          <w:rFonts w:hint="default" w:ascii="Times New Roman" w:hAnsi="Times New Roman" w:eastAsia="方正仿宋简体" w:cs="Times New Roman"/>
          <w:i w:val="0"/>
          <w:iCs w:val="0"/>
          <w:caps w:val="0"/>
          <w:color w:val="111133"/>
          <w:spacing w:val="0"/>
          <w:sz w:val="34"/>
          <w:szCs w:val="34"/>
          <w:lang w:val="en-US" w:eastAsia="zh-CN"/>
        </w:rPr>
        <w:t>按照《中国共产党巡视工作条例》有关要求，现将巡察整改情况予以公布。</w:t>
      </w:r>
      <w:r>
        <w:rPr>
          <w:rFonts w:hint="default" w:ascii="Times New Roman" w:hAnsi="Times New Roman" w:eastAsia="方正仿宋简体" w:cs="Times New Roman"/>
          <w:i w:val="0"/>
          <w:iCs w:val="0"/>
          <w:caps w:val="0"/>
          <w:color w:val="111133"/>
          <w:spacing w:val="0"/>
          <w:sz w:val="34"/>
          <w:szCs w:val="34"/>
        </w:rPr>
        <w:t xml:space="preserve"> </w:t>
      </w:r>
    </w:p>
    <w:p>
      <w:pPr>
        <w:widowControl w:val="0"/>
        <w:wordWrap/>
        <w:adjustRightInd/>
        <w:snapToGrid/>
        <w:spacing w:before="0" w:after="0" w:line="579" w:lineRule="exact"/>
        <w:ind w:left="0" w:leftChars="0" w:right="0" w:firstLine="640" w:firstLineChars="200"/>
        <w:textAlignment w:val="auto"/>
        <w:outlineLvl w:val="9"/>
        <w:rPr>
          <w:rFonts w:hint="eastAsia" w:ascii="黑体" w:hAnsi="黑体" w:eastAsia="黑体" w:cs="黑体"/>
          <w:i w:val="0"/>
          <w:iCs w:val="0"/>
          <w:caps w:val="0"/>
          <w:color w:val="111133"/>
          <w:spacing w:val="0"/>
          <w:sz w:val="34"/>
          <w:szCs w:val="34"/>
        </w:rPr>
      </w:pPr>
      <w:r>
        <w:rPr>
          <w:rFonts w:hint="eastAsia" w:ascii="黑体" w:hAnsi="黑体" w:eastAsia="黑体" w:cs="黑体"/>
          <w:i w:val="0"/>
          <w:iCs w:val="0"/>
          <w:caps w:val="0"/>
          <w:color w:val="111133"/>
          <w:spacing w:val="0"/>
          <w:sz w:val="34"/>
          <w:szCs w:val="34"/>
        </w:rPr>
        <w:t>一、</w:t>
      </w:r>
      <w:r>
        <w:rPr>
          <w:rFonts w:hint="eastAsia" w:ascii="黑体" w:hAnsi="黑体" w:eastAsia="黑体" w:cs="黑体"/>
          <w:i w:val="0"/>
          <w:iCs w:val="0"/>
          <w:caps w:val="0"/>
          <w:color w:val="111133"/>
          <w:spacing w:val="0"/>
          <w:sz w:val="34"/>
          <w:szCs w:val="34"/>
          <w:lang w:val="en-US" w:eastAsia="zh-CN"/>
        </w:rPr>
        <w:t>领导班子履行主体责任情况</w:t>
      </w:r>
      <w:r>
        <w:rPr>
          <w:rFonts w:hint="eastAsia" w:ascii="黑体" w:hAnsi="黑体" w:eastAsia="黑体" w:cs="黑体"/>
          <w:i w:val="0"/>
          <w:iCs w:val="0"/>
          <w:caps w:val="0"/>
          <w:color w:val="111133"/>
          <w:spacing w:val="0"/>
          <w:sz w:val="34"/>
          <w:szCs w:val="34"/>
        </w:rPr>
        <w:t xml:space="preserve">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lang w:val="en-US" w:eastAsia="zh-CN"/>
        </w:rPr>
      </w:pPr>
      <w:r>
        <w:rPr>
          <w:rFonts w:hint="default" w:ascii="Times New Roman" w:hAnsi="Times New Roman" w:eastAsia="方正仿宋简体" w:cs="Times New Roman"/>
          <w:i w:val="0"/>
          <w:iCs w:val="0"/>
          <w:caps w:val="0"/>
          <w:color w:val="111133"/>
          <w:spacing w:val="0"/>
          <w:sz w:val="34"/>
          <w:szCs w:val="34"/>
          <w:lang w:val="en-US" w:eastAsia="zh-CN"/>
        </w:rPr>
        <w:t>中共丹东市振安区人民法院党组坚决贯彻落实党中央决策部署和习总书记关于巡视工作的重要论述，认真对照巡察反馈意见，高标准高质量推进巡察整改。</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 xml:space="preserve">（一）提高政治站位，深化思想认识，深入剖析问题根源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r>
        <w:rPr>
          <w:rFonts w:hint="default" w:ascii="Times New Roman" w:hAnsi="Times New Roman" w:eastAsia="方正仿宋简体" w:cs="Times New Roman"/>
          <w:i w:val="0"/>
          <w:iCs w:val="0"/>
          <w:caps w:val="0"/>
          <w:color w:val="111133"/>
          <w:spacing w:val="0"/>
          <w:sz w:val="34"/>
          <w:szCs w:val="34"/>
        </w:rPr>
        <w:t xml:space="preserve">院党组坚决把巡察整改作为捍卫“两个确立”、做到“两个维护”的政治检验，切实扛起主体责任。党组书记带头学习反馈意见，主持召开专题民主生活会和党组会议，逐项剖析问题根源，主动认领责任。党组一致认为，巡察指出的问题切中要害，反映出我院在党建引领、制度执行、监督管理等方面存在短板。坚持刀刃向内、深挖根源，真正从思想上查不足、明方向。 </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 xml:space="preserve">（二）强化组织领导，统筹安排部署，有序推进整改任务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r>
        <w:rPr>
          <w:rFonts w:hint="default" w:ascii="Times New Roman" w:hAnsi="Times New Roman" w:eastAsia="方正仿宋简体" w:cs="Times New Roman"/>
          <w:i w:val="0"/>
          <w:iCs w:val="0"/>
          <w:caps w:val="0"/>
          <w:color w:val="111133"/>
          <w:spacing w:val="0"/>
          <w:sz w:val="34"/>
          <w:szCs w:val="34"/>
        </w:rPr>
        <w:t xml:space="preserve">成立由党组书记任组长的整改工作领导小组，构建“一把手”负总责、分管领导分片抓、责任部门具体落实的工作格局。先后召开专题民主生活会、党组会及推进会10余次，研究制定整改方案，建立问题、任务、责任“三张清单”，实行挂图作战、销号管理。党组书记亲自部署、协调、督办，定期听取进展汇报，及时解决难点问题，确保整改任务有序推进、落地见效。 </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 xml:space="preserve">（三）聚焦问题整改，压实主体责任，狠抓措施落实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r>
        <w:rPr>
          <w:rFonts w:hint="default" w:ascii="Times New Roman" w:hAnsi="Times New Roman" w:eastAsia="方正仿宋简体" w:cs="Times New Roman"/>
          <w:i w:val="0"/>
          <w:iCs w:val="0"/>
          <w:caps w:val="0"/>
          <w:color w:val="111133"/>
          <w:spacing w:val="0"/>
          <w:sz w:val="34"/>
          <w:szCs w:val="34"/>
        </w:rPr>
        <w:t>党组书记切实履行第一责任人职责，牵头整改重点难点问题，督促班子成员落实“一岗双</w:t>
      </w:r>
      <w:r>
        <w:rPr>
          <w:rFonts w:hint="default" w:ascii="Times New Roman" w:hAnsi="Times New Roman" w:eastAsia="方正仿宋简体" w:cs="Times New Roman"/>
          <w:i w:val="0"/>
          <w:iCs w:val="0"/>
          <w:caps w:val="0"/>
          <w:color w:val="111133"/>
          <w:spacing w:val="0"/>
          <w:sz w:val="34"/>
          <w:szCs w:val="34"/>
          <w:lang w:val="en-US" w:eastAsia="zh-CN"/>
        </w:rPr>
        <w:t>责”</w:t>
      </w:r>
      <w:r>
        <w:rPr>
          <w:rFonts w:hint="default" w:ascii="Times New Roman" w:hAnsi="Times New Roman" w:eastAsia="方正仿宋简体" w:cs="Times New Roman"/>
          <w:i w:val="0"/>
          <w:iCs w:val="0"/>
          <w:caps w:val="0"/>
          <w:color w:val="111133"/>
          <w:spacing w:val="0"/>
          <w:sz w:val="34"/>
          <w:szCs w:val="34"/>
        </w:rPr>
        <w:t xml:space="preserve">，切实堵塞漏洞、提升治理效能。强化对中央八项规定精神、“三个规定”等制度执行的日常监督和警示教育，推动作风建设常态长效。 </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（四）注重成果转化，推动长效机制建设，促进高质量发展</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r>
        <w:rPr>
          <w:rFonts w:hint="default" w:ascii="Times New Roman" w:hAnsi="Times New Roman" w:eastAsia="方正仿宋简体" w:cs="Times New Roman"/>
          <w:i w:val="0"/>
          <w:iCs w:val="0"/>
          <w:caps w:val="0"/>
          <w:color w:val="111133"/>
          <w:spacing w:val="0"/>
          <w:sz w:val="34"/>
          <w:szCs w:val="34"/>
        </w:rPr>
        <w:t xml:space="preserve"> 坚持举一反三、标本兼治，推动整改成果转化为长效机制。将整改成效融入业务工作和年度考核，设立专班、开展“回头看”，防止问题反弹。部分经验已在全院推广，干部轮岗机制进一步健全，服务流程持续优化，群众满意度不断提升。</w:t>
      </w:r>
    </w:p>
    <w:p>
      <w:pPr>
        <w:widowControl w:val="0"/>
        <w:wordWrap/>
        <w:adjustRightInd/>
        <w:snapToGrid/>
        <w:spacing w:before="0" w:after="0" w:line="579" w:lineRule="exact"/>
        <w:ind w:left="0" w:leftChars="0" w:right="0" w:firstLine="640" w:firstLineChars="200"/>
        <w:textAlignment w:val="auto"/>
        <w:outlineLvl w:val="9"/>
        <w:rPr>
          <w:rFonts w:hint="default" w:ascii="黑体" w:hAnsi="黑体" w:eastAsia="黑体" w:cs="黑体"/>
          <w:i w:val="0"/>
          <w:iCs w:val="0"/>
          <w:caps w:val="0"/>
          <w:color w:val="111133"/>
          <w:spacing w:val="0"/>
          <w:sz w:val="34"/>
          <w:szCs w:val="34"/>
          <w:lang w:val="en-US" w:eastAsia="zh-CN"/>
        </w:rPr>
      </w:pPr>
      <w:r>
        <w:rPr>
          <w:rFonts w:hint="default" w:ascii="黑体" w:hAnsi="黑体" w:eastAsia="黑体" w:cs="黑体"/>
          <w:i w:val="0"/>
          <w:iCs w:val="0"/>
          <w:caps w:val="0"/>
          <w:color w:val="111133"/>
          <w:spacing w:val="0"/>
          <w:sz w:val="34"/>
          <w:szCs w:val="34"/>
          <w:lang w:val="en-US" w:eastAsia="zh-CN"/>
        </w:rPr>
        <w:t xml:space="preserve">二、巡察整改落实情况 </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 xml:space="preserve">（一）学习贯彻习近平总书记关于政法工作指示精神不深入，在发挥审判职能作用方面有差距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1.在学习贯彻习近平总书记指示精神不到位方面。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坚持把政治建设摆在首位。组织召开党组会议7次，专题研究落实措施，紧密结合审判执行工作实际，出台15条具体措施。建立常态化学习考核机制，开展政治理论学习7次，围绕习近平法治思想和中央政法工作会议精神，举办专题培训班2次、专题研讨2次，累计培训干警70余人次，切实提升干警政治素养和履职能力。</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修订完善诉前调解工作制度。明确各部门职责分工，形成工作闭环；与行业调解组织召开联席会议，推动建立“法院+”诉调对接模式；在诉讼服务中心设立4个专职调解窗口，配备4名专职调解员，实现9类常见纠纷“一站式”受理、全流程调解，今年先行调解案件1297件，调解成功率20.66%，有效减轻群众诉累。</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建立与工会、住建、金融、医疗等10家重点行业组织的常态化协调机制。召开会商会议2次，形成调解指引6项；举办行业调解员专题培训7次，培训265人次；建立激励机制，表彰优秀调解员2名，通报优秀案例，有效提升行业调解组织的积极性和工作质效。</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2.在推动法治政府建设存在不足方面。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强化司法监督与延伸职能。2025年以来向3家行政机关发出司法建议3份，均在30日内得到书面反馈，采纳回复率达100%；对近三年发出的33份司法建议进行回访，切实提升监督实效。</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深化府院联动机制。组织行政审判法官与区检察院、司法局、市场监管局、自然资源局等重点执法部门开展同堂联训3次，参训行政执法人员20余人次，围绕行政执法程序、证据固定、应诉能力等实务问题深入研讨，有效提升执法与司法衔接水平。</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 xml:space="preserve">健全“四类案件”监管机制，明确15项识别标准，实现系统自动提示、分级预警，2025年以来主动监管占比提升至22.22%；严格落实月通报和台账管理，由分管院领导和庭长逐案督办；强化院庭长阅核和专项评查，年初以来阅核案件300件，对已结的3件“四类案件”评查未发现问题。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3.在助力法治化营商环境建设有短板方面。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严格贯彻落实上级法院关于优化营商环境的政策文件，成立由分管副院长牵头的优化法治化营商环境工作专班，配备专职人员，建立政策传达机制。2025年以来已转发、解读上级法院涉企司法政策文件2份，确保上级精神及时传达到位、落实到位。坚持问需于企，组织走访企业20余人次，收集关于合同履行、劳动用工、知识产权保护等方面的意见建议5条，其中3条已作为办案重点关注，进一步提升司法服务的精准性和有效性。</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加大涉企执行攻坚力度，对以往终结本次执行案件实行动态管理，发现有可供执行财产立即恢复执行，去年恢复执行100件，今年已恢复执行57件。利用重大节日开展集中执行行动，春节前共执行完毕28件，其中涉薪资和涉企案件9件，执行到位并发放案款84.6万元。截至目前，执行工作质量效率显著提升，从全省考察的三项重点指标看，执行完毕率54.36%，优于合理区间3.36个百分点；首执案件终本率20.33%，优于合理区间11.67个百分点；执行到位率60.68%，优于合理区间8.68个百分点。未实际执结案件由原来的458件减少至332件，占比由30.8%下降至22.33%，申请执行标的额由原来的9亿余元下降至8.486亿余元。剩余案件待有执行财产线索后，将按照法定要求第一时间恢复执行。</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全面提升涉企案件审理质量和回访率。对近三年审结的涉企案件进行普遍回访，针对2021年以来案件被上级法院发改的情况，组织专题分析会，梳理共性问题形成类案审理指引，提升审判质量。同时，对超自然审限仍未审结的13件涉企案件逐案督办，均已办结，确保案件审理进度可控、风险可防。</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 xml:space="preserve">（二）落实上级决策部署及工作要求不到位，服务全面振兴新突破有差距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1.在</w:t>
      </w:r>
      <w:r>
        <w:rPr>
          <w:rFonts w:hint="default" w:ascii="Times New Roman" w:hAnsi="Times New Roman" w:eastAsia="方正仿宋简体" w:cs="Times New Roman"/>
          <w:sz w:val="34"/>
          <w:szCs w:val="34"/>
        </w:rPr>
        <w:t>贯彻落实全面振兴新突破三年行动任务用力不足</w:t>
      </w:r>
      <w:r>
        <w:rPr>
          <w:rFonts w:hint="default" w:ascii="Times New Roman" w:hAnsi="Times New Roman" w:eastAsia="方正仿宋简体" w:cs="Times New Roman"/>
          <w:color w:val="000000"/>
          <w:sz w:val="34"/>
          <w:szCs w:val="34"/>
          <w:lang w:val="en-US" w:eastAsia="zh-CN"/>
        </w:rPr>
        <w:t>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聚焦长期未结案件清理。对8件超12个月未结案件实行“一案一策”挂牌督办，累计召开督办推进会3次，向院党组及主要领导专题汇报8次，截至目前已审结7件，剩余1件因债务人财产无法处置尚未办结，正积极协调推进，力争年底前结案。</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强化审判流程管理，明确立案、分案、审理、结案等各环节时限要求，坚持审判质效指标“红、黄、蓝、绿”四色预警机制，压实办案责任，提升审判效率。</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 xml:space="preserve">依托最高法院“一张网”系统，对全院案件实行全程动态监控，自动提示临期案件，系统上线以来已预警超6个月未结案件19件，提前干预率达100%，有效防止边清边积问题。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r>
        <w:rPr>
          <w:rFonts w:hint="default" w:ascii="Times New Roman" w:hAnsi="Times New Roman" w:eastAsia="方正仿宋简体" w:cs="Times New Roman"/>
          <w:color w:val="000000"/>
          <w:sz w:val="34"/>
          <w:szCs w:val="34"/>
          <w:lang w:val="en-US" w:eastAsia="zh-CN"/>
        </w:rPr>
        <w:t>2.在推动“五化法庭”建设有差距方面。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强化审判流程节点管控。明确立案、送达、开庭、合议、文书制作等10个关键环节的时限要求，实行审限动态管理，九连城法庭最长审理天数由421天下降至172天，五龙背法庭由345天下降至305天，两法庭年初以来平均审理周期分别缩短至40.84天和27.58天，办案效率显著提升。</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加大巡回审判力度，制定季度巡回审判计划，坚持面向基层、服务群众导向。2025年以来，九连城法庭和五龙背法庭已各开展巡回审判1次，并深入村居、社区组织调解纠纷分别为6次和5次，有效延伸司法服务触角。</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聚焦主责主业，提升司法服务效能。截至目前，两法庭共结案438件，同比增加78件。</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3.在诉讼费“网上缴费”落实有欠缺方面。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对原有网上缴费平台进行全面升级。接入“一张网”系统，实现与法院财务管理系统和省财政非税收入平台的“三方实时对接”，数据同步误差控制在1分钟以内，确保数据的及时性和准确性。</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明确立案、财务、审判部门职责分工，严格落实退费“双人复核”流程，确保每一笔退费操作的准确性和安全性。自系统升级以来，通过网上渠道缴纳诉讼费的案件达2166件，占全部缴费案件的98.5%，网上缴费成功率达到100%。</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实现“数据多跑路、群众少跑腿”。2025年以来，共办理诉讼费线上退付140笔，金额共计255,061.29元，平均退费周期显著下降。</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（三）在发挥审判职能作用方面不到位，在维护司法公平正义方面存在欠缺</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1.在审判质效不优方面。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全面加强审判质效管理，严格落实审判质量管理指标体系要求，全面推行“院庭长阅核+专业法官会议+审判委员会把关”机制，对“四类案件”及其他重点案件实行100%阅核。组织开展案件质量评查7轮，覆盖1748件案件，发现问题131处，相关情况均已纳入绩效考核。</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强化业务能力建设。聚焦重点领域，组织专题培训3次，开展发改案件“一案一讲评”活动6次，累计参训法官及助理30余人次，有效统一裁判尺度。深度应用法答网和人民法院案例库，2025年以来检索使用案例库案件332件，通过法答网咨询答疑94次，显著提升法律适用的准确性和裁判的规范化水平。</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通过持续整改，审判质效实现明显提升。截至目前，一审判决案件改判5件、发回重审1件，两项指标均优于合理区间；案-件比优化至1.37，较2023年1.59显著改善；生效案件被上级法院发回重审率由2023年的0.591%降至0.15%，审判质效实现明显进位提升。</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2.在审判程序不规范方面。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坚持问题导向，全面开展程序规范化整治，细化立案、送达、开庭、裁判、执行等环节操作标准，进一步明确委托手续审查、社区矫正文书送达等关键节点要求，建立校验机制。组织全院员额法官、法官助理及书记员开展审判程序专项培训2期，重点围绕《民法典》配套司法解释、新修订《行政诉讼法》《刑事诉讼法》适用开展集中学习，强化新法学习培训，严格法律适用。</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严格落实集约化送达机制。由诉讼服务中心统一负责文书送达管理，推广电子送达平台应用，年初以来，电子送达成功率达75%；针对社区矫正文书送达不及时问题，指定专人负责生效文书移送，2025年以来共向社区矫正机构送达法律文书17份，均在判决生效后3日内完成。</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对前期发现的10件案件中法律条文引用不当问题，10件案件中授权委托书无授权事项、诉讼代理人无委托授权问题，5件案件未在规定时间内送达社区矫正文书问题，以及42件案件存在副本发送超期、送达回执缺少签收时间、送达方式不规范等问题，逐案倒查，相关问题已全部补正归档。</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3.在人民陪审员管理不规范方面。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严格实行人民陪审员年度参审案件30件上限“熔断”控制机制，2025年以来未发生超规定参审案件数问题。</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优化参审结构。将75名人民陪审员按专业背景、居住区域分类编组，与各业务庭需求精准匹配，通过系统随机抽取并定向安排参审频次偏低人员，截至目前，共有26名人民陪审员实际参审，人均参审1.88件。</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强化履职管理，组织“庭审规范、证据审查、合议规则”专题培训，开展庭审观摩14次，陪审员参审均衡性、规范性显著提升。</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（四）树立和深化“司法为民”理念不够扎实，诉讼难、执行效率低等问题未能得到有效解决</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1.在受理案件难，立案工作存在短板方面。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严格落实立案登记制和刑事裁判涉财产部分执行案件移送时限要求，对29起案件全部补录立案并启动执行程序。建立立案投诉即时响应机制，设立监督电话，切实保障当事人立案权利。</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强化诉讼服务便民利民。设立“绿色立案通道”，对涉民生案件实行优先审查、即时立案，2025年通过绿色通道立案626件，平均审查时间压缩至3个工作日内。全面使用起诉状、答辩状示范文本，立案工作效率大幅提升。</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统筹推进“控源减量”与提升办案质效。2025年预计全年人均结案数将超过124件，较2022年明显提升；同时，通过推行先行调解、参与综治中心建设、落实干警下基层等举措，2025年以来引导1467件纠纷进入先行调解程序，成功化解308件，有效减少诉讼增量，实现办案效率与社会治理的良性互动。</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2.在办案周期长方面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设立专门上诉移送岗，由专人负责卷宗整理、审核和移送。明确各环节责任部门和时限要求，实现与中院立案庭定期对接，截至目前全院上诉案件平均移送时间压缩至32.5天，较整改前的59.88天大幅缩短。</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强化审判运行调度。实行“周提示、月通报、季会商”督办机制，2025年以来共发布审判质效通报7期，召开调度会2次，推动案件随到随办、均衡结案。</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建立长期未结案件预警台账，对临近审限案件提前15天预警，超6个月未结案件由分管院领导挂牌督办，有效防止突击结案和控制收案现象，截至目前，结案均衡度达0.71，较2022年的0.49大幅提升。</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3.在执行质效不高方面。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针对长期未结案件，特别是金跃商贸城债务纠纷一案，成立由分管副院长牵头的执行攻坚专班，实行“一案一策”集中攻坚。加快评估进度，确保尽快出具新评估报告，并根据评估结果制定差异化处置方案，探索整体打包转让、引入战略投资人等路径；定期通报进展，争取理解支持，力争在2025年底前取得实质性突破。</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全面清理超期未发放案款，2021年以来累计清理超期未发放案款127笔，共计64.41万元，已发放109笔57.33万元，剩余18笔合计7.08万元因法定事由暂时无法发放，待法定情形解除后立即发放。2025年新收执行案款平均发放用时缩短至11天，超期发放问题“清零”。</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强化执行流程管理，明确立案、查控、处置、结案等重要节点时限，上线执行案件动态监控平台，对临近节点案件进行预警，截至目前，执行案件平均用时由整改前的63.57天缩短至50.25天。加强源头治理，推动立审执协调配合，在诉前和审判阶段加强履行引导，民事裁判自动履行率显著提升，民事裁判申请执行率由2023年的51.47%降至今年上半年的32.81%。开展集中执行行动4次，执行到位率提升至54.98%，执行工作质效实现整体提升。</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4.在执行不规范问题突出方面。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全面规范财产调查措施。组织“回头看”专项评查，重新启动调查程序，通过补充查询银行流水、不动产、车辆、股权、社保缴纳等信息，恢复执行3件并全部执行完毕。</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严格规范法律文书送达及记录。明确要求送达时必须同步告知已查控情况，并由被执行人签字确认。建立执行送达台账系统，实行“谁送达、谁登记、谁负责”，2025年以来送达报告财产令621次。</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强化代理人资格审查和刑事执行内容管理。明确规定律师代理需提交执业证、律所函、授权委托书，公民代理需提交身份证、亲属关系证明或基层组织推荐材料，劳动争议案件还需提供劳动关系证明；立案时由执行接待窗口专人核验材料，整改以来共退回补充材料案件13件，杜绝无资格代理现象。执行局与刑事审判庭建立“刑案移送执行清单制”，确保每一项判决内容单独列项、逐一移送、逐一立案，并设立刑事执行专岗负责接收核对，截至目前共接收刑事涉财执行案件33件，全部纳入执行管理系统跟踪督办。</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（五）处理信访问题不够积极有力，防范化解重大风险有漏洞</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在破解信访难题手段单一方面。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 xml:space="preserve">认真落实“三到位一处理”工作要求，综合运用案件评查、公开听证、信访终结、帮扶救助等制度，建立多元化信访化解机制。联合区信访局为9名信访人提供法律咨询，通过谈心谈话有效缓解情绪波动较大信访人的对抗情绪，促成息访，切实增强化解工作的专业性和实效性。 </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定期召开信访专题会议，深入分析信访形势，研究化解对策，截至目前，已召开4次专题会议，对重点信访案件逐一制定化解方案，明确责任分工和办理时限，确保每一起案件都有针对性处置措施和推进计划。</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完善信访接待窗口功能，增加1名工作人员，提供一站式服务，提升接待能力和办理效率。坚持窗口接待来访群众，当场解决群众诉求，对“有信必复”信访事项做到7日内程序性回复率100%。</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（六）推进全面从严治党不够深入，重点领域存在廉政风险点</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1.在落实“两个责任”不到位方面。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制定2025年度全面从严治党工作计划及目标要求，明确责任分工。根据党组成员变动情况，及时更新履行全面从严治党主体责任领导小组成员名单。2025年以来召开党组会议7次，其中2次专门研究全面从严治党和党风廉政建设工作，切实履行党组主体责任。</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坚持警示教育常态化、制度化，2025年以来结合春节、国庆等重要节点，开展专题警示教育6次，覆盖全体干警。</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强化廉政风险防控机制建设，制定《丹东市振安区关于落实廉政风险防控机制建设的实施办法》，对审判、执行等关键岗位实行事前提示、事中监督、事后处理的全流程监管。</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2.在司法作风不严不实方面。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加大庭审监管力度，制定《智能审务督察通报庭审问题汇总及规范》，明确庭审不规范问题类别、具体行为及规范要求，划清行为界限，切实提升庭审规范化水平。</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适时开展司法作风检查，制定《关于进一步加强纪律作风的规定（试行）》，以制度规范检查事项，组织检查20余次，发布通报3期，督促干警养成良好行为习惯，严肃工作纪律。</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强化“三个规定”平台登记报告管理，严格落实本院《关于填报“三个规定”记录平台的实施细则（试行）》，每月20日通过微信发送填报提醒，27日后结合平台更新情况实时督导，填报工作实现常态化、规范化。</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3.在执行财经纪律不严格方面。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进一步规范财务报销流程，明确规定所有报销凭证必须由经办人、部门负责人、财务人员及分管财务领导依次审核签字后方可报销。</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加强固定资产采购管理，严格执行辽宁省政府采购网上商城制度。组织全体财务人员及相关部门负责人参加政府采购专题培训，提升政策执行力。</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严肃差旅费报销管理，院党组专题研究并明确要求，报销差旅费必须提供正规票据，差旅费单据须经办公室和分管领导严格审核后方可入账。同时每季度开展至少1次财务自查，及时发现问题并纠正，确保财经纪律刚性落实。</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（七）落实党建工作责任制不规范，领导班子和队伍建设有短板</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1.在领导班子建设有差距方面。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明确新提拔领导干部工作分工，确保工作有序衔接。</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及时调整干部职务。通过选拔考察程序，于2025年7月提请区人大常委会任命两名新任庭长，确保审判业务部门领导岗位及时配备到位。</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加强干部队伍建设，截至目前外派参加业务培训17人次，完善后备干部人才库，已入库优秀年轻干部21名，为法院可持续发展提供人才支撑。</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2.在支部建设标准化规范化水平不高方面。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严格落实“三会一课”和主题党日制度。截至目前已组织党小组学习8次，参与累计560人次；召开支委会10次、党员大会3次、党小组会8次，上党课2次，通过定期检查和随机抽查相结合方式加强监督，确保组织生活常态化、规范化运行。</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严格规范发展党员程序，在机关党工委指导下，认真落实《中国共产党发展党员工作细则》，严把政治关、程序关。</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组织专题会议强调研讨要求，明确必须结合本职岗位实际撰写心得体会。截至目前共收集高质量研讨材料60余份，均经审核后存档备案，切实提升党内政治生活质量。</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3.在干部队伍配备不均衡方面。</w:t>
      </w:r>
      <w:r>
        <w:rPr>
          <w:rFonts w:hint="default" w:ascii="黑体" w:hAnsi="黑体" w:eastAsia="黑体" w:cs="黑体"/>
          <w:i w:val="0"/>
          <w:iCs w:val="0"/>
          <w:caps w:val="0"/>
          <w:color w:val="111133"/>
          <w:spacing w:val="0"/>
          <w:sz w:val="34"/>
          <w:szCs w:val="34"/>
          <w:lang w:val="en-US" w:eastAsia="zh-CN"/>
        </w:rPr>
        <w:t>一是</w:t>
      </w:r>
      <w:r>
        <w:rPr>
          <w:rFonts w:hint="default" w:ascii="Times New Roman" w:hAnsi="Times New Roman" w:eastAsia="方正仿宋简体" w:cs="Times New Roman"/>
          <w:color w:val="000000"/>
          <w:sz w:val="34"/>
          <w:szCs w:val="34"/>
          <w:lang w:val="en-US" w:eastAsia="zh-CN"/>
        </w:rPr>
        <w:t>加大“员额”法官遴选工作力度，2025年上半年通过严格选拔程序成功遴选了3名新的员额法官，填补了原有的员额空缺编制，员额法官空编率从12%降至0，实现了满编运行。</w:t>
      </w:r>
      <w:r>
        <w:rPr>
          <w:rFonts w:hint="default" w:ascii="黑体" w:hAnsi="黑体" w:eastAsia="黑体" w:cs="黑体"/>
          <w:i w:val="0"/>
          <w:iCs w:val="0"/>
          <w:caps w:val="0"/>
          <w:color w:val="111133"/>
          <w:spacing w:val="0"/>
          <w:sz w:val="34"/>
          <w:szCs w:val="34"/>
          <w:lang w:val="en-US" w:eastAsia="zh-CN"/>
        </w:rPr>
        <w:t>二是</w:t>
      </w:r>
      <w:r>
        <w:rPr>
          <w:rFonts w:hint="default" w:ascii="Times New Roman" w:hAnsi="Times New Roman" w:eastAsia="方正仿宋简体" w:cs="Times New Roman"/>
          <w:color w:val="000000"/>
          <w:sz w:val="34"/>
          <w:szCs w:val="34"/>
          <w:lang w:val="en-US" w:eastAsia="zh-CN"/>
        </w:rPr>
        <w:t>提高法官助理和书记员的比例，确保满足“一审一助一书”的改革要求。根据实际需求，新招录了3名法官助理，使得法官助理及书记员总数增加至31人。每个审判团队均配置一名员额法官、一名法官助理和一名书记员，有效提升了审判辅助工作的效率和质量。</w:t>
      </w:r>
      <w:r>
        <w:rPr>
          <w:rFonts w:hint="default" w:ascii="黑体" w:hAnsi="黑体" w:eastAsia="黑体" w:cs="黑体"/>
          <w:i w:val="0"/>
          <w:iCs w:val="0"/>
          <w:caps w:val="0"/>
          <w:color w:val="111133"/>
          <w:spacing w:val="0"/>
          <w:sz w:val="34"/>
          <w:szCs w:val="34"/>
          <w:lang w:val="en-US" w:eastAsia="zh-CN"/>
        </w:rPr>
        <w:t>三是</w:t>
      </w:r>
      <w:r>
        <w:rPr>
          <w:rFonts w:hint="default" w:ascii="Times New Roman" w:hAnsi="Times New Roman" w:eastAsia="方正仿宋简体" w:cs="Times New Roman"/>
          <w:color w:val="000000"/>
          <w:sz w:val="34"/>
          <w:szCs w:val="34"/>
          <w:lang w:val="en-US" w:eastAsia="zh-CN"/>
        </w:rPr>
        <w:t>加强对现有人员的业务培训，提升其综合素质和工作能力。2025年以来，共组织各类业务培训班38次，累计培训时长超过197小时，参与培训人数达622人次。</w:t>
      </w:r>
    </w:p>
    <w:p>
      <w:pPr>
        <w:widowControl w:val="0"/>
        <w:wordWrap/>
        <w:adjustRightInd/>
        <w:snapToGrid/>
        <w:spacing w:before="0" w:after="0" w:line="579" w:lineRule="exact"/>
        <w:ind w:left="0" w:leftChars="0" w:right="0" w:firstLine="640" w:firstLineChars="200"/>
        <w:textAlignment w:val="auto"/>
        <w:outlineLvl w:val="9"/>
        <w:rPr>
          <w:rFonts w:hint="default" w:ascii="黑体" w:hAnsi="黑体" w:eastAsia="黑体" w:cs="黑体"/>
          <w:i w:val="0"/>
          <w:iCs w:val="0"/>
          <w:caps w:val="0"/>
          <w:color w:val="111133"/>
          <w:spacing w:val="0"/>
          <w:sz w:val="34"/>
          <w:szCs w:val="34"/>
          <w:lang w:val="en-US" w:eastAsia="zh-CN"/>
        </w:rPr>
      </w:pPr>
      <w:r>
        <w:rPr>
          <w:rFonts w:hint="default" w:ascii="黑体" w:hAnsi="黑体" w:eastAsia="黑体" w:cs="黑体"/>
          <w:i w:val="0"/>
          <w:iCs w:val="0"/>
          <w:caps w:val="0"/>
          <w:color w:val="111133"/>
          <w:spacing w:val="0"/>
          <w:sz w:val="34"/>
          <w:szCs w:val="34"/>
          <w:lang w:val="en-US" w:eastAsia="zh-CN"/>
        </w:rPr>
        <w:t>三、下步工作打算及计划</w:t>
      </w:r>
    </w:p>
    <w:p>
      <w:pPr>
        <w:widowControl w:val="0"/>
        <w:wordWrap/>
        <w:adjustRightInd/>
        <w:snapToGrid/>
        <w:spacing w:before="0" w:after="0" w:line="579" w:lineRule="exact"/>
        <w:ind w:left="0" w:leftChars="0" w:right="0" w:firstLine="640" w:firstLineChars="200"/>
        <w:textAlignment w:val="auto"/>
        <w:outlineLvl w:val="9"/>
        <w:rPr>
          <w:rFonts w:hint="eastAsia" w:ascii="方正楷体简体" w:hAnsi="方正楷体简体" w:eastAsia="方正楷体简体" w:cs="方正楷体简体"/>
          <w:i w:val="0"/>
          <w:iCs w:val="0"/>
          <w:caps w:val="0"/>
          <w:color w:val="111133"/>
          <w:spacing w:val="0"/>
          <w:sz w:val="34"/>
          <w:szCs w:val="34"/>
          <w:lang w:val="en-US" w:eastAsia="zh-CN"/>
        </w:rPr>
      </w:pPr>
      <w:r>
        <w:rPr>
          <w:rFonts w:hint="eastAsia" w:ascii="方正楷体简体" w:hAnsi="方正楷体简体" w:eastAsia="方正楷体简体" w:cs="方正楷体简体"/>
          <w:i w:val="0"/>
          <w:iCs w:val="0"/>
          <w:caps w:val="0"/>
          <w:color w:val="111133"/>
          <w:spacing w:val="0"/>
          <w:sz w:val="34"/>
          <w:szCs w:val="34"/>
          <w:lang w:val="en-US" w:eastAsia="zh-CN"/>
        </w:rPr>
        <w:t>（一）压实整改责任，持续推进反馈问题清仓见底</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lang w:val="en-US" w:eastAsia="zh-CN"/>
        </w:rPr>
      </w:pPr>
      <w:r>
        <w:rPr>
          <w:rFonts w:hint="default" w:ascii="Times New Roman" w:hAnsi="Times New Roman" w:eastAsia="方正仿宋简体" w:cs="Times New Roman"/>
          <w:i w:val="0"/>
          <w:iCs w:val="0"/>
          <w:caps w:val="0"/>
          <w:color w:val="111133"/>
          <w:spacing w:val="0"/>
          <w:sz w:val="34"/>
          <w:szCs w:val="34"/>
          <w:lang w:val="en-US" w:eastAsia="zh-CN"/>
        </w:rPr>
        <w:t>坚持目标不变、标准不降、力度不减，对尚未完全整改到位的问题紧盯不放，持续跟踪督办，确保整改任务全面清零。对已取得阶段性成效的整改事项，适时开展“回头看”，重点核查整改措施是否落实、问题是否反弹、群众是否满意。进一步强化党组主体责任和班子成员“一岗双责”，将整改任务纳入日常履职清单，做到常抓常管、真抓真管，确保所有问题见底清零、彻底整改。</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（二）完善制度机制，推动巡察整改常态化、长效化</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lang w:val="en-US" w:eastAsia="zh-CN"/>
        </w:rPr>
      </w:pPr>
      <w:r>
        <w:rPr>
          <w:rFonts w:hint="default" w:ascii="Times New Roman" w:hAnsi="Times New Roman" w:eastAsia="方正仿宋简体" w:cs="Times New Roman"/>
          <w:i w:val="0"/>
          <w:iCs w:val="0"/>
          <w:caps w:val="0"/>
          <w:color w:val="111133"/>
          <w:spacing w:val="0"/>
          <w:sz w:val="34"/>
          <w:szCs w:val="34"/>
          <w:lang w:val="en-US" w:eastAsia="zh-CN"/>
        </w:rPr>
        <w:t>坚持“当下改”与“长久立”相结合，深入分析问题背后的制度短板和管理漏洞，持续健全完善长效机制。围绕重点领域，动态梳理修订制度规范，推动形成用制度管人、管事、管权的长效机制。强化制度执行监督，定期开展制度落实情况检查，切实提高制度的刚性约束力，真正把巡察整改成果转化为提升司法公信力和群众满意度的内生动力。</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i w:val="0"/>
          <w:iCs w:val="0"/>
          <w:caps w:val="0"/>
          <w:color w:val="111133"/>
          <w:spacing w:val="0"/>
          <w:sz w:val="34"/>
          <w:szCs w:val="34"/>
          <w:lang w:val="en-US" w:eastAsia="zh-CN"/>
        </w:rPr>
      </w:pPr>
      <w:r>
        <w:rPr>
          <w:rFonts w:hint="default" w:ascii="方正楷体简体" w:hAnsi="方正楷体简体" w:eastAsia="方正楷体简体" w:cs="方正楷体简体"/>
          <w:i w:val="0"/>
          <w:iCs w:val="0"/>
          <w:caps w:val="0"/>
          <w:color w:val="111133"/>
          <w:spacing w:val="0"/>
          <w:sz w:val="34"/>
          <w:szCs w:val="34"/>
          <w:lang w:val="en-US" w:eastAsia="zh-CN"/>
        </w:rPr>
        <w:t>（三）强化监督检查，确保真改实改</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lang w:val="en-US" w:eastAsia="zh-CN"/>
        </w:rPr>
      </w:pPr>
      <w:r>
        <w:rPr>
          <w:rFonts w:hint="default" w:ascii="Times New Roman" w:hAnsi="Times New Roman" w:eastAsia="方正仿宋简体" w:cs="Times New Roman"/>
          <w:i w:val="0"/>
          <w:iCs w:val="0"/>
          <w:caps w:val="0"/>
          <w:color w:val="111133"/>
          <w:spacing w:val="0"/>
          <w:sz w:val="34"/>
          <w:szCs w:val="34"/>
          <w:lang w:val="en-US" w:eastAsia="zh-CN"/>
        </w:rPr>
        <w:t>建立健全整改工作督查机制，定期开展专项督查和随机抽查，重点检查整改措施是否落实、整改成效是否真实、群众反映是否改善。对整改不力的部门和责任人，严肃追责问责，确保整改工作不走过场、不留死角。主动接受干警和群众监督，通过内部通报、公开晾晒整改进展等方式，增强整改工作的透明度和公信力，以实实在在的整改成效推动法院工作高质量发展。</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lang w:val="en-US" w:eastAsia="zh-CN"/>
        </w:rPr>
      </w:pPr>
      <w:r>
        <w:rPr>
          <w:rFonts w:hint="default" w:ascii="Times New Roman" w:hAnsi="Times New Roman" w:eastAsia="方正仿宋简体" w:cs="Times New Roman"/>
          <w:i w:val="0"/>
          <w:iCs w:val="0"/>
          <w:caps w:val="0"/>
          <w:color w:val="111133"/>
          <w:spacing w:val="0"/>
          <w:sz w:val="34"/>
          <w:szCs w:val="34"/>
        </w:rPr>
        <w:t>欢迎广大干部群众对巡察整改落实情况进行监督。如有意见建议，请</w:t>
      </w:r>
      <w:r>
        <w:rPr>
          <w:rFonts w:hint="default" w:ascii="Times New Roman" w:hAnsi="Times New Roman" w:eastAsia="方正仿宋简体" w:cs="Times New Roman"/>
          <w:i w:val="0"/>
          <w:iCs w:val="0"/>
          <w:caps w:val="0"/>
          <w:color w:val="111133"/>
          <w:spacing w:val="0"/>
          <w:sz w:val="34"/>
          <w:szCs w:val="34"/>
          <w:lang w:val="en-US" w:eastAsia="zh-CN"/>
        </w:rPr>
        <w:t>及时向我们反映。公开期间</w:t>
      </w:r>
      <w:r>
        <w:rPr>
          <w:rFonts w:hint="default" w:ascii="Times New Roman" w:hAnsi="Times New Roman" w:eastAsia="方正仿宋简体" w:cs="Times New Roman"/>
          <w:i w:val="0"/>
          <w:iCs w:val="0"/>
          <w:caps w:val="0"/>
          <w:color w:val="111133"/>
          <w:spacing w:val="0"/>
          <w:sz w:val="34"/>
          <w:szCs w:val="34"/>
        </w:rPr>
        <w:t>：</w:t>
      </w:r>
      <w:r>
        <w:rPr>
          <w:rFonts w:hint="default" w:ascii="Times New Roman" w:hAnsi="Times New Roman" w:eastAsia="方正仿宋简体" w:cs="Times New Roman"/>
          <w:i w:val="0"/>
          <w:iCs w:val="0"/>
          <w:caps w:val="0"/>
          <w:color w:val="111133"/>
          <w:spacing w:val="0"/>
          <w:sz w:val="34"/>
          <w:szCs w:val="34"/>
          <w:lang w:val="en-US" w:eastAsia="zh-CN"/>
        </w:rPr>
        <w:t>2025年</w:t>
      </w:r>
      <w:r>
        <w:rPr>
          <w:rFonts w:hint="eastAsia" w:ascii="Times New Roman" w:hAnsi="Times New Roman" w:eastAsia="方正仿宋简体" w:cs="Times New Roman"/>
          <w:i w:val="0"/>
          <w:iCs w:val="0"/>
          <w:caps w:val="0"/>
          <w:color w:val="111133"/>
          <w:spacing w:val="0"/>
          <w:sz w:val="34"/>
          <w:szCs w:val="34"/>
          <w:lang w:val="en-US" w:eastAsia="zh-CN"/>
        </w:rPr>
        <w:t>11</w:t>
      </w:r>
      <w:r>
        <w:rPr>
          <w:rFonts w:hint="default" w:ascii="Times New Roman" w:hAnsi="Times New Roman" w:eastAsia="方正仿宋简体" w:cs="Times New Roman"/>
          <w:i w:val="0"/>
          <w:iCs w:val="0"/>
          <w:caps w:val="0"/>
          <w:color w:val="111133"/>
          <w:spacing w:val="0"/>
          <w:sz w:val="34"/>
          <w:szCs w:val="34"/>
          <w:lang w:val="en-US" w:eastAsia="zh-CN"/>
        </w:rPr>
        <w:t>月</w:t>
      </w:r>
      <w:r>
        <w:rPr>
          <w:rFonts w:hint="eastAsia" w:ascii="Times New Roman" w:hAnsi="Times New Roman" w:eastAsia="方正仿宋简体" w:cs="Times New Roman"/>
          <w:i w:val="0"/>
          <w:iCs w:val="0"/>
          <w:caps w:val="0"/>
          <w:color w:val="111133"/>
          <w:spacing w:val="0"/>
          <w:sz w:val="34"/>
          <w:szCs w:val="34"/>
          <w:lang w:val="en-US" w:eastAsia="zh-CN"/>
        </w:rPr>
        <w:t>24</w:t>
      </w:r>
      <w:r>
        <w:rPr>
          <w:rFonts w:hint="default" w:ascii="Times New Roman" w:hAnsi="Times New Roman" w:eastAsia="方正仿宋简体" w:cs="Times New Roman"/>
          <w:i w:val="0"/>
          <w:iCs w:val="0"/>
          <w:caps w:val="0"/>
          <w:color w:val="111133"/>
          <w:spacing w:val="0"/>
          <w:sz w:val="34"/>
          <w:szCs w:val="34"/>
          <w:lang w:val="en-US" w:eastAsia="zh-CN"/>
        </w:rPr>
        <w:t>日至</w:t>
      </w:r>
      <w:r>
        <w:rPr>
          <w:rFonts w:hint="eastAsia" w:ascii="Times New Roman" w:hAnsi="Times New Roman" w:eastAsia="方正仿宋简体" w:cs="Times New Roman"/>
          <w:i w:val="0"/>
          <w:iCs w:val="0"/>
          <w:caps w:val="0"/>
          <w:color w:val="111133"/>
          <w:spacing w:val="0"/>
          <w:sz w:val="34"/>
          <w:szCs w:val="34"/>
          <w:lang w:val="en-US" w:eastAsia="zh-CN"/>
        </w:rPr>
        <w:t>12</w:t>
      </w:r>
      <w:r>
        <w:rPr>
          <w:rFonts w:hint="default" w:ascii="Times New Roman" w:hAnsi="Times New Roman" w:eastAsia="方正仿宋简体" w:cs="Times New Roman"/>
          <w:i w:val="0"/>
          <w:iCs w:val="0"/>
          <w:caps w:val="0"/>
          <w:color w:val="111133"/>
          <w:spacing w:val="0"/>
          <w:sz w:val="34"/>
          <w:szCs w:val="34"/>
          <w:lang w:val="en-US" w:eastAsia="zh-CN"/>
        </w:rPr>
        <w:t>月</w:t>
      </w:r>
      <w:r>
        <w:rPr>
          <w:rFonts w:hint="eastAsia" w:ascii="Times New Roman" w:hAnsi="Times New Roman" w:eastAsia="方正仿宋简体" w:cs="Times New Roman"/>
          <w:i w:val="0"/>
          <w:iCs w:val="0"/>
          <w:caps w:val="0"/>
          <w:color w:val="111133"/>
          <w:spacing w:val="0"/>
          <w:sz w:val="34"/>
          <w:szCs w:val="34"/>
          <w:lang w:val="en-US" w:eastAsia="zh-CN"/>
        </w:rPr>
        <w:t>12</w:t>
      </w:r>
      <w:r>
        <w:rPr>
          <w:rFonts w:hint="default" w:ascii="Times New Roman" w:hAnsi="Times New Roman" w:eastAsia="方正仿宋简体" w:cs="Times New Roman"/>
          <w:i w:val="0"/>
          <w:iCs w:val="0"/>
          <w:caps w:val="0"/>
          <w:color w:val="111133"/>
          <w:spacing w:val="0"/>
          <w:sz w:val="34"/>
          <w:szCs w:val="34"/>
          <w:lang w:val="en-US" w:eastAsia="zh-CN"/>
        </w:rPr>
        <w:t>日。</w:t>
      </w:r>
      <w:r>
        <w:rPr>
          <w:rFonts w:hint="default" w:ascii="Times New Roman" w:hAnsi="Times New Roman" w:eastAsia="方正仿宋简体" w:cs="Times New Roman"/>
          <w:i w:val="0"/>
          <w:iCs w:val="0"/>
          <w:caps w:val="0"/>
          <w:color w:val="111133"/>
          <w:spacing w:val="0"/>
          <w:sz w:val="34"/>
          <w:szCs w:val="34"/>
        </w:rPr>
        <w:t xml:space="preserve"> 联系电话：</w:t>
      </w:r>
      <w:r>
        <w:rPr>
          <w:rFonts w:hint="default" w:ascii="Times New Roman" w:hAnsi="Times New Roman" w:eastAsia="方正仿宋简体" w:cs="Times New Roman"/>
          <w:i w:val="0"/>
          <w:iCs w:val="0"/>
          <w:caps w:val="0"/>
          <w:color w:val="111133"/>
          <w:spacing w:val="0"/>
          <w:sz w:val="34"/>
          <w:szCs w:val="34"/>
          <w:lang w:val="en-US" w:eastAsia="zh-CN"/>
        </w:rPr>
        <w:t>0415</w:t>
      </w:r>
      <w:r>
        <w:rPr>
          <w:rFonts w:hint="default" w:ascii="Times New Roman" w:hAnsi="Times New Roman" w:eastAsia="方正仿宋简体" w:cs="Times New Roman"/>
          <w:i w:val="0"/>
          <w:iCs w:val="0"/>
          <w:caps w:val="0"/>
          <w:color w:val="111133"/>
          <w:spacing w:val="0"/>
          <w:sz w:val="34"/>
          <w:szCs w:val="34"/>
        </w:rPr>
        <w:t>-</w:t>
      </w:r>
      <w:r>
        <w:rPr>
          <w:rFonts w:hint="default" w:ascii="Times New Roman" w:hAnsi="Times New Roman" w:eastAsia="方正仿宋简体" w:cs="Times New Roman"/>
          <w:i w:val="0"/>
          <w:iCs w:val="0"/>
          <w:caps w:val="0"/>
          <w:color w:val="111133"/>
          <w:spacing w:val="0"/>
          <w:sz w:val="34"/>
          <w:szCs w:val="34"/>
          <w:lang w:val="en-US" w:eastAsia="zh-CN"/>
        </w:rPr>
        <w:t>2277287</w:t>
      </w:r>
      <w:r>
        <w:rPr>
          <w:rFonts w:hint="default" w:ascii="Times New Roman" w:hAnsi="Times New Roman" w:eastAsia="方正仿宋简体" w:cs="Times New Roman"/>
          <w:i w:val="0"/>
          <w:iCs w:val="0"/>
          <w:caps w:val="0"/>
          <w:color w:val="111133"/>
          <w:spacing w:val="0"/>
          <w:sz w:val="34"/>
          <w:szCs w:val="34"/>
        </w:rPr>
        <w:t>（工作日：上午</w:t>
      </w:r>
      <w:r>
        <w:rPr>
          <w:rFonts w:hint="default" w:ascii="Times New Roman" w:hAnsi="Times New Roman" w:eastAsia="方正仿宋简体" w:cs="Times New Roman"/>
          <w:i w:val="0"/>
          <w:iCs w:val="0"/>
          <w:caps w:val="0"/>
          <w:color w:val="111133"/>
          <w:spacing w:val="0"/>
          <w:sz w:val="34"/>
          <w:szCs w:val="34"/>
          <w:lang w:val="en-US" w:eastAsia="zh-CN"/>
        </w:rPr>
        <w:t>9</w:t>
      </w:r>
      <w:r>
        <w:rPr>
          <w:rFonts w:hint="default" w:ascii="Times New Roman" w:hAnsi="Times New Roman" w:eastAsia="方正仿宋简体" w:cs="Times New Roman"/>
          <w:i w:val="0"/>
          <w:iCs w:val="0"/>
          <w:caps w:val="0"/>
          <w:color w:val="111133"/>
          <w:spacing w:val="0"/>
          <w:sz w:val="34"/>
          <w:szCs w:val="34"/>
        </w:rPr>
        <w:t>:</w:t>
      </w:r>
      <w:r>
        <w:rPr>
          <w:rFonts w:hint="default" w:ascii="Times New Roman" w:hAnsi="Times New Roman" w:eastAsia="方正仿宋简体" w:cs="Times New Roman"/>
          <w:i w:val="0"/>
          <w:iCs w:val="0"/>
          <w:caps w:val="0"/>
          <w:color w:val="111133"/>
          <w:spacing w:val="0"/>
          <w:sz w:val="34"/>
          <w:szCs w:val="34"/>
          <w:lang w:val="en-US" w:eastAsia="zh-CN"/>
        </w:rPr>
        <w:t>0</w:t>
      </w:r>
      <w:r>
        <w:rPr>
          <w:rFonts w:hint="default" w:ascii="Times New Roman" w:hAnsi="Times New Roman" w:eastAsia="方正仿宋简体" w:cs="Times New Roman"/>
          <w:i w:val="0"/>
          <w:iCs w:val="0"/>
          <w:caps w:val="0"/>
          <w:color w:val="111133"/>
          <w:spacing w:val="0"/>
          <w:sz w:val="34"/>
          <w:szCs w:val="34"/>
        </w:rPr>
        <w:t>0-1</w:t>
      </w:r>
      <w:r>
        <w:rPr>
          <w:rFonts w:hint="default" w:ascii="Times New Roman" w:hAnsi="Times New Roman" w:eastAsia="方正仿宋简体" w:cs="Times New Roman"/>
          <w:i w:val="0"/>
          <w:iCs w:val="0"/>
          <w:caps w:val="0"/>
          <w:color w:val="111133"/>
          <w:spacing w:val="0"/>
          <w:sz w:val="34"/>
          <w:szCs w:val="34"/>
          <w:lang w:val="en-US" w:eastAsia="zh-CN"/>
        </w:rPr>
        <w:t>7</w:t>
      </w:r>
      <w:r>
        <w:rPr>
          <w:rFonts w:hint="default" w:ascii="Times New Roman" w:hAnsi="Times New Roman" w:eastAsia="方正仿宋简体" w:cs="Times New Roman"/>
          <w:i w:val="0"/>
          <w:iCs w:val="0"/>
          <w:caps w:val="0"/>
          <w:color w:val="111133"/>
          <w:spacing w:val="0"/>
          <w:sz w:val="34"/>
          <w:szCs w:val="34"/>
        </w:rPr>
        <w:t>:</w:t>
      </w:r>
      <w:r>
        <w:rPr>
          <w:rFonts w:hint="default" w:ascii="Times New Roman" w:hAnsi="Times New Roman" w:eastAsia="方正仿宋简体" w:cs="Times New Roman"/>
          <w:i w:val="0"/>
          <w:iCs w:val="0"/>
          <w:caps w:val="0"/>
          <w:color w:val="111133"/>
          <w:spacing w:val="0"/>
          <w:sz w:val="34"/>
          <w:szCs w:val="34"/>
          <w:lang w:val="en-US" w:eastAsia="zh-CN"/>
        </w:rPr>
        <w:t>0</w:t>
      </w:r>
      <w:r>
        <w:rPr>
          <w:rFonts w:hint="default" w:ascii="Times New Roman" w:hAnsi="Times New Roman" w:eastAsia="方正仿宋简体" w:cs="Times New Roman"/>
          <w:i w:val="0"/>
          <w:iCs w:val="0"/>
          <w:caps w:val="0"/>
          <w:color w:val="111133"/>
          <w:spacing w:val="0"/>
          <w:sz w:val="34"/>
          <w:szCs w:val="34"/>
        </w:rPr>
        <w:t>0） 邮政信箱：辽宁省丹东市振安区</w:t>
      </w:r>
      <w:r>
        <w:rPr>
          <w:rFonts w:hint="default" w:ascii="Times New Roman" w:hAnsi="Times New Roman" w:eastAsia="方正仿宋简体" w:cs="Times New Roman"/>
          <w:i w:val="0"/>
          <w:iCs w:val="0"/>
          <w:caps w:val="0"/>
          <w:color w:val="111133"/>
          <w:spacing w:val="0"/>
          <w:sz w:val="34"/>
          <w:szCs w:val="34"/>
          <w:lang w:val="en-US" w:eastAsia="zh-CN"/>
        </w:rPr>
        <w:t>东泰</w:t>
      </w:r>
      <w:r>
        <w:rPr>
          <w:rFonts w:hint="default" w:ascii="Times New Roman" w:hAnsi="Times New Roman" w:eastAsia="方正仿宋简体" w:cs="Times New Roman"/>
          <w:i w:val="0"/>
          <w:iCs w:val="0"/>
          <w:caps w:val="0"/>
          <w:color w:val="111133"/>
          <w:spacing w:val="0"/>
          <w:sz w:val="34"/>
          <w:szCs w:val="34"/>
        </w:rPr>
        <w:t>路</w:t>
      </w:r>
      <w:r>
        <w:rPr>
          <w:rFonts w:hint="default" w:ascii="Times New Roman" w:hAnsi="Times New Roman" w:eastAsia="方正仿宋简体" w:cs="Times New Roman"/>
          <w:i w:val="0"/>
          <w:iCs w:val="0"/>
          <w:caps w:val="0"/>
          <w:color w:val="111133"/>
          <w:spacing w:val="0"/>
          <w:sz w:val="34"/>
          <w:szCs w:val="34"/>
          <w:lang w:val="en-US" w:eastAsia="zh-CN"/>
        </w:rPr>
        <w:t>225-4</w:t>
      </w:r>
      <w:r>
        <w:rPr>
          <w:rFonts w:hint="default" w:ascii="Times New Roman" w:hAnsi="Times New Roman" w:eastAsia="方正仿宋简体" w:cs="Times New Roman"/>
          <w:i w:val="0"/>
          <w:iCs w:val="0"/>
          <w:caps w:val="0"/>
          <w:color w:val="111133"/>
          <w:spacing w:val="0"/>
          <w:sz w:val="34"/>
          <w:szCs w:val="34"/>
        </w:rPr>
        <w:t>号 电子邮箱：</w:t>
      </w:r>
      <w:r>
        <w:rPr>
          <w:rFonts w:hint="default" w:ascii="Times New Roman" w:hAnsi="Times New Roman" w:eastAsia="方正仿宋简体" w:cs="Times New Roman"/>
          <w:i w:val="0"/>
          <w:iCs w:val="0"/>
          <w:caps w:val="0"/>
          <w:color w:val="auto"/>
          <w:spacing w:val="0"/>
          <w:sz w:val="34"/>
          <w:szCs w:val="34"/>
          <w:lang w:val="en-US" w:eastAsia="zh-CN"/>
        </w:rPr>
        <w:fldChar w:fldCharType="begin"/>
      </w:r>
      <w:r>
        <w:rPr>
          <w:rFonts w:hint="default" w:ascii="Times New Roman" w:hAnsi="Times New Roman" w:eastAsia="方正仿宋简体" w:cs="Times New Roman"/>
          <w:i w:val="0"/>
          <w:iCs w:val="0"/>
          <w:caps w:val="0"/>
          <w:color w:val="auto"/>
          <w:spacing w:val="0"/>
          <w:sz w:val="34"/>
          <w:szCs w:val="34"/>
          <w:lang w:val="en-US" w:eastAsia="zh-CN"/>
        </w:rPr>
        <w:instrText xml:space="preserve"> HYPERLINK "mailto:yg63080@163.com" </w:instrText>
      </w:r>
      <w:r>
        <w:rPr>
          <w:rFonts w:hint="default" w:ascii="Times New Roman" w:hAnsi="Times New Roman" w:eastAsia="方正仿宋简体" w:cs="Times New Roman"/>
          <w:i w:val="0"/>
          <w:iCs w:val="0"/>
          <w:caps w:val="0"/>
          <w:color w:val="auto"/>
          <w:spacing w:val="0"/>
          <w:sz w:val="34"/>
          <w:szCs w:val="34"/>
          <w:lang w:val="en-US" w:eastAsia="zh-CN"/>
        </w:rPr>
        <w:fldChar w:fldCharType="separate"/>
      </w:r>
      <w:r>
        <w:rPr>
          <w:rStyle w:val="5"/>
          <w:rFonts w:hint="default" w:ascii="Times New Roman" w:hAnsi="Times New Roman" w:eastAsia="方正仿宋简体" w:cs="Times New Roman"/>
          <w:i w:val="0"/>
          <w:iCs w:val="0"/>
          <w:caps w:val="0"/>
          <w:color w:val="auto"/>
          <w:spacing w:val="0"/>
          <w:sz w:val="34"/>
          <w:szCs w:val="34"/>
          <w:lang w:val="en-US" w:eastAsia="zh-CN"/>
        </w:rPr>
        <w:t>yg63080@163.com</w:t>
      </w:r>
      <w:r>
        <w:rPr>
          <w:rFonts w:hint="default" w:ascii="Times New Roman" w:hAnsi="Times New Roman" w:eastAsia="方正仿宋简体" w:cs="Times New Roman"/>
          <w:i w:val="0"/>
          <w:iCs w:val="0"/>
          <w:caps w:val="0"/>
          <w:color w:val="auto"/>
          <w:spacing w:val="0"/>
          <w:sz w:val="34"/>
          <w:szCs w:val="34"/>
          <w:lang w:val="en-US" w:eastAsia="zh-CN"/>
        </w:rPr>
        <w:fldChar w:fldCharType="end"/>
      </w:r>
      <w:r>
        <w:rPr>
          <w:rFonts w:hint="default" w:ascii="Times New Roman" w:hAnsi="Times New Roman" w:eastAsia="方正仿宋简体" w:cs="Times New Roman"/>
          <w:i w:val="0"/>
          <w:iCs w:val="0"/>
          <w:caps w:val="0"/>
          <w:color w:val="auto"/>
          <w:spacing w:val="0"/>
          <w:sz w:val="34"/>
          <w:szCs w:val="34"/>
          <w:lang w:val="en-US" w:eastAsia="zh-CN"/>
        </w:rPr>
        <w:t xml:space="preserve"> </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i w:val="0"/>
          <w:iCs w:val="0"/>
          <w:caps w:val="0"/>
          <w:color w:val="111133"/>
          <w:spacing w:val="0"/>
          <w:sz w:val="34"/>
          <w:szCs w:val="34"/>
        </w:rPr>
      </w:pPr>
    </w:p>
    <w:p>
      <w:pPr>
        <w:widowControl w:val="0"/>
        <w:wordWrap/>
        <w:adjustRightInd/>
        <w:snapToGrid/>
        <w:spacing w:before="0" w:after="0" w:line="579" w:lineRule="exact"/>
        <w:ind w:left="0" w:leftChars="0" w:right="0" w:firstLine="3200" w:firstLineChars="1000"/>
        <w:textAlignment w:val="auto"/>
        <w:outlineLvl w:val="9"/>
        <w:rPr>
          <w:rFonts w:hint="default" w:ascii="Times New Roman" w:hAnsi="Times New Roman" w:eastAsia="方正仿宋简体" w:cs="Times New Roman"/>
          <w:i w:val="0"/>
          <w:iCs w:val="0"/>
          <w:caps w:val="0"/>
          <w:color w:val="111133"/>
          <w:spacing w:val="0"/>
          <w:sz w:val="34"/>
          <w:szCs w:val="34"/>
        </w:rPr>
      </w:pPr>
      <w:r>
        <w:rPr>
          <w:rFonts w:hint="default" w:ascii="Times New Roman" w:hAnsi="Times New Roman" w:eastAsia="方正仿宋简体" w:cs="Times New Roman"/>
          <w:i w:val="0"/>
          <w:iCs w:val="0"/>
          <w:caps w:val="0"/>
          <w:color w:val="111133"/>
          <w:spacing w:val="0"/>
          <w:sz w:val="34"/>
          <w:szCs w:val="34"/>
        </w:rPr>
        <w:t xml:space="preserve">中共丹东市振安区人民法院党组  </w:t>
      </w:r>
    </w:p>
    <w:p>
      <w:pPr>
        <w:widowControl w:val="0"/>
        <w:wordWrap/>
        <w:adjustRightInd/>
        <w:snapToGrid/>
        <w:spacing w:before="0" w:after="0" w:line="579" w:lineRule="exact"/>
        <w:ind w:left="0" w:leftChars="0" w:right="0" w:firstLine="3840" w:firstLineChars="1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i w:val="0"/>
          <w:iCs w:val="0"/>
          <w:caps w:val="0"/>
          <w:color w:val="111133"/>
          <w:spacing w:val="0"/>
          <w:sz w:val="34"/>
          <w:szCs w:val="34"/>
        </w:rPr>
        <w:t xml:space="preserve"> </w:t>
      </w:r>
      <w:r>
        <w:rPr>
          <w:rFonts w:hint="default" w:ascii="Times New Roman" w:hAnsi="Times New Roman" w:eastAsia="方正仿宋简体" w:cs="Times New Roman"/>
          <w:i w:val="0"/>
          <w:iCs w:val="0"/>
          <w:caps w:val="0"/>
          <w:color w:val="111133"/>
          <w:spacing w:val="0"/>
          <w:sz w:val="34"/>
          <w:szCs w:val="34"/>
          <w:lang w:val="en-US" w:eastAsia="zh-CN"/>
        </w:rPr>
        <w:t xml:space="preserve">  </w:t>
      </w:r>
      <w:bookmarkStart w:id="0" w:name="_GoBack"/>
      <w:bookmarkEnd w:id="0"/>
      <w:r>
        <w:rPr>
          <w:rFonts w:hint="default" w:ascii="Times New Roman" w:hAnsi="Times New Roman" w:eastAsia="方正仿宋简体" w:cs="Times New Roman"/>
          <w:i w:val="0"/>
          <w:iCs w:val="0"/>
          <w:caps w:val="0"/>
          <w:color w:val="111133"/>
          <w:spacing w:val="0"/>
          <w:sz w:val="34"/>
          <w:szCs w:val="34"/>
        </w:rPr>
        <w:t>2025年</w:t>
      </w:r>
      <w:r>
        <w:rPr>
          <w:rFonts w:hint="eastAsia" w:ascii="Times New Roman" w:hAnsi="Times New Roman" w:eastAsia="方正仿宋简体" w:cs="Times New Roman"/>
          <w:i w:val="0"/>
          <w:iCs w:val="0"/>
          <w:caps w:val="0"/>
          <w:color w:val="111133"/>
          <w:spacing w:val="0"/>
          <w:sz w:val="34"/>
          <w:szCs w:val="34"/>
          <w:lang w:val="en-US" w:eastAsia="zh-CN"/>
        </w:rPr>
        <w:t>11</w:t>
      </w:r>
      <w:r>
        <w:rPr>
          <w:rFonts w:hint="default" w:ascii="Times New Roman" w:hAnsi="Times New Roman" w:eastAsia="方正仿宋简体" w:cs="Times New Roman"/>
          <w:i w:val="0"/>
          <w:iCs w:val="0"/>
          <w:caps w:val="0"/>
          <w:color w:val="111133"/>
          <w:spacing w:val="0"/>
          <w:sz w:val="34"/>
          <w:szCs w:val="34"/>
        </w:rPr>
        <w:t>月</w:t>
      </w:r>
      <w:r>
        <w:rPr>
          <w:rFonts w:hint="eastAsia" w:ascii="Times New Roman" w:hAnsi="Times New Roman" w:eastAsia="方正仿宋简体" w:cs="Times New Roman"/>
          <w:i w:val="0"/>
          <w:iCs w:val="0"/>
          <w:caps w:val="0"/>
          <w:color w:val="111133"/>
          <w:spacing w:val="0"/>
          <w:sz w:val="34"/>
          <w:szCs w:val="34"/>
          <w:lang w:val="en-US" w:eastAsia="zh-CN"/>
        </w:rPr>
        <w:t>24</w:t>
      </w:r>
      <w:r>
        <w:rPr>
          <w:rFonts w:hint="default" w:ascii="Times New Roman" w:hAnsi="Times New Roman" w:eastAsia="方正仿宋简体" w:cs="Times New Roman"/>
          <w:i w:val="0"/>
          <w:iCs w:val="0"/>
          <w:caps w:val="0"/>
          <w:color w:val="111133"/>
          <w:spacing w:val="0"/>
          <w:sz w:val="34"/>
          <w:szCs w:val="34"/>
        </w:rPr>
        <w:t>日</w:t>
      </w:r>
    </w:p>
    <w:sectPr>
      <w:footerReference r:id="rId4" w:type="default"/>
      <w:pgSz w:w="11906" w:h="16838"/>
      <w:pgMar w:top="2211" w:right="1531" w:bottom="1871" w:left="1531" w:header="851" w:footer="992" w:gutter="0"/>
      <w:paperSrc w:first="0" w:other="0"/>
      <w:pgNumType w:fmt="decimal"/>
      <w:cols w:space="720" w:num="1"/>
      <w:rtlGutter w:val="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8215</Words>
  <Characters>8629</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2025-10-23T03:19:00Z</dcterms:created>
  <dc:creator>WPS_1528175743</dc:creator>
  <cp:lastPrinted>2025-10-25T04:06:00Z</cp:lastPrinted>
  <dcterms:modified xsi:type="dcterms:W3CDTF">2025-12-05T13:41:34Z</dcterms:modified>
  <dc:title>WPS_1528175743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1DC3A572F7B24A84A913529B4901E728_13</vt:lpwstr>
  </property>
  <property fmtid="{D5CDD505-2E9C-101B-9397-08002B2CF9AE}" pid="4" name="KSOTemplateDocerSaveRecord">
    <vt:lpwstr>eyJoZGlkIjoiMzQ4YWZjNzEyYzNhZTQ2YWNiZmI4ZTczNDRhYjg2NTciLCJ1c2VySWQiOiIzNzYxNTc1MDgifQ==</vt:lpwstr>
  </property>
</Properties>
</file>