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val="en-US" w:eastAsia="zh-CN"/>
        </w:rPr>
        <w:t>中共</w:t>
      </w:r>
      <w:r>
        <w:rPr>
          <w:rFonts w:hint="eastAsia" w:ascii="方正小标宋简体" w:hAnsi="方正小标宋简体" w:eastAsia="方正小标宋简体" w:cs="方正小标宋简体"/>
          <w:bCs/>
          <w:color w:val="000000"/>
          <w:kern w:val="0"/>
          <w:sz w:val="44"/>
          <w:szCs w:val="44"/>
        </w:rPr>
        <w:t>东港人民检察院党组关于</w:t>
      </w:r>
      <w:r>
        <w:rPr>
          <w:rFonts w:hint="eastAsia" w:ascii="方正小标宋简体" w:hAnsi="方正小标宋简体" w:eastAsia="方正小标宋简体" w:cs="方正小标宋简体"/>
          <w:bCs/>
          <w:color w:val="000000"/>
          <w:kern w:val="0"/>
          <w:sz w:val="44"/>
          <w:szCs w:val="44"/>
          <w:lang w:eastAsia="zh-CN"/>
        </w:rPr>
        <w:t>丹东</w:t>
      </w:r>
      <w:r>
        <w:rPr>
          <w:rFonts w:hint="eastAsia" w:ascii="方正小标宋简体" w:hAnsi="方正小标宋简体" w:eastAsia="方正小标宋简体" w:cs="方正小标宋简体"/>
          <w:bCs/>
          <w:color w:val="000000"/>
          <w:kern w:val="0"/>
          <w:sz w:val="44"/>
          <w:szCs w:val="44"/>
        </w:rPr>
        <w:t>市委</w:t>
      </w:r>
    </w:p>
    <w:p>
      <w:pPr>
        <w:widowControl w:val="0"/>
        <w:wordWrap/>
        <w:adjustRightInd w:val="0"/>
        <w:snapToGrid w:val="0"/>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Cs/>
          <w:color w:val="000000"/>
          <w:kern w:val="0"/>
          <w:sz w:val="44"/>
          <w:szCs w:val="44"/>
          <w:lang w:val="en-US" w:eastAsia="zh-CN"/>
        </w:rPr>
      </w:pPr>
      <w:r>
        <w:rPr>
          <w:rFonts w:hint="eastAsia" w:ascii="方正小标宋简体" w:hAnsi="方正小标宋简体" w:eastAsia="方正小标宋简体" w:cs="方正小标宋简体"/>
          <w:bCs/>
          <w:color w:val="000000"/>
          <w:kern w:val="0"/>
          <w:sz w:val="44"/>
          <w:szCs w:val="44"/>
          <w:lang w:val="en-US" w:eastAsia="zh-CN"/>
        </w:rPr>
        <w:t>巡察整改</w:t>
      </w:r>
      <w:bookmarkStart w:id="0" w:name="_GoBack"/>
      <w:bookmarkEnd w:id="0"/>
      <w:r>
        <w:rPr>
          <w:rFonts w:hint="eastAsia" w:ascii="方正小标宋简体" w:hAnsi="方正小标宋简体" w:eastAsia="方正小标宋简体" w:cs="方正小标宋简体"/>
          <w:bCs/>
          <w:color w:val="000000"/>
          <w:kern w:val="0"/>
          <w:sz w:val="44"/>
          <w:szCs w:val="44"/>
          <w:lang w:val="en-US" w:eastAsia="zh-CN"/>
        </w:rPr>
        <w:t>落实进展情况的通报</w:t>
      </w:r>
    </w:p>
    <w:p>
      <w:pPr>
        <w:pStyle w:val="2"/>
        <w:widowControl w:val="0"/>
        <w:wordWrap/>
        <w:adjustRightInd w:val="0"/>
        <w:snapToGrid w:val="0"/>
        <w:spacing w:before="0" w:after="0" w:line="579" w:lineRule="exact"/>
        <w:ind w:left="0" w:leftChars="0" w:right="0"/>
        <w:textAlignment w:val="auto"/>
        <w:outlineLvl w:val="9"/>
        <w:rPr>
          <w:rFonts w:hint="eastAsia"/>
          <w:lang w:val="en-US" w:eastAsia="zh-CN"/>
        </w:rPr>
      </w:pPr>
    </w:p>
    <w:p>
      <w:pPr>
        <w:widowControl w:val="0"/>
        <w:wordWrap/>
        <w:adjustRightInd w:val="0"/>
        <w:snapToGrid w:val="0"/>
        <w:spacing w:before="0" w:after="0" w:line="579" w:lineRule="exact"/>
        <w:ind w:left="0" w:leftChars="0" w:right="0" w:firstLine="645"/>
        <w:textAlignment w:val="auto"/>
        <w:outlineLvl w:val="9"/>
        <w:rPr>
          <w:rFonts w:hint="default" w:ascii="Times New Roman" w:hAnsi="Times New Roman" w:eastAsia="方正仿宋简体" w:cs="Times New Roman"/>
          <w:color w:val="000000"/>
          <w:kern w:val="2"/>
          <w:sz w:val="34"/>
          <w:szCs w:val="34"/>
          <w:lang w:val="en-US" w:eastAsia="zh-CN" w:bidi="ar-SA"/>
        </w:rPr>
      </w:pPr>
      <w:r>
        <w:rPr>
          <w:rFonts w:hint="default" w:ascii="Times New Roman" w:hAnsi="Times New Roman" w:eastAsia="方正仿宋简体" w:cs="Times New Roman"/>
          <w:sz w:val="34"/>
          <w:szCs w:val="34"/>
        </w:rPr>
        <w:t>根据市委</w:t>
      </w:r>
      <w:r>
        <w:rPr>
          <w:rFonts w:hint="default" w:ascii="Times New Roman" w:hAnsi="Times New Roman" w:eastAsia="方正仿宋简体" w:cs="Times New Roman"/>
          <w:sz w:val="34"/>
          <w:szCs w:val="34"/>
          <w:lang w:eastAsia="zh-CN"/>
        </w:rPr>
        <w:t>和市委</w:t>
      </w:r>
      <w:r>
        <w:rPr>
          <w:rFonts w:hint="default" w:ascii="Times New Roman" w:hAnsi="Times New Roman" w:eastAsia="方正仿宋简体" w:cs="Times New Roman"/>
          <w:sz w:val="34"/>
          <w:szCs w:val="34"/>
        </w:rPr>
        <w:t>巡察工作</w:t>
      </w:r>
      <w:r>
        <w:rPr>
          <w:rFonts w:hint="default" w:ascii="Times New Roman" w:hAnsi="Times New Roman" w:eastAsia="方正仿宋简体" w:cs="Times New Roman"/>
          <w:sz w:val="34"/>
          <w:szCs w:val="34"/>
          <w:lang w:eastAsia="zh-CN"/>
        </w:rPr>
        <w:t>领导小组统一</w:t>
      </w:r>
      <w:r>
        <w:rPr>
          <w:rFonts w:hint="default" w:ascii="Times New Roman" w:hAnsi="Times New Roman" w:eastAsia="方正仿宋简体" w:cs="Times New Roman"/>
          <w:sz w:val="34"/>
          <w:szCs w:val="34"/>
        </w:rPr>
        <w:t>部署，20</w:t>
      </w:r>
      <w:r>
        <w:rPr>
          <w:rFonts w:hint="default" w:ascii="Times New Roman" w:hAnsi="Times New Roman" w:eastAsia="方正仿宋简体" w:cs="Times New Roman"/>
          <w:sz w:val="34"/>
          <w:szCs w:val="34"/>
          <w:lang w:val="en-US" w:eastAsia="zh-CN"/>
        </w:rPr>
        <w:t>24</w:t>
      </w:r>
      <w:r>
        <w:rPr>
          <w:rFonts w:hint="default" w:ascii="Times New Roman" w:hAnsi="Times New Roman" w:eastAsia="方正仿宋简体" w:cs="Times New Roman"/>
          <w:sz w:val="34"/>
          <w:szCs w:val="34"/>
        </w:rPr>
        <w:t>年</w:t>
      </w:r>
      <w:r>
        <w:rPr>
          <w:rFonts w:hint="default" w:ascii="Times New Roman" w:hAnsi="Times New Roman" w:eastAsia="方正仿宋简体" w:cs="Times New Roman"/>
          <w:sz w:val="34"/>
          <w:szCs w:val="34"/>
          <w:lang w:val="en-US" w:eastAsia="zh-CN"/>
        </w:rPr>
        <w:t>9</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日至</w:t>
      </w:r>
      <w:r>
        <w:rPr>
          <w:rFonts w:hint="default"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日，市委第</w:t>
      </w:r>
      <w:r>
        <w:rPr>
          <w:rFonts w:hint="default" w:ascii="Times New Roman" w:hAnsi="Times New Roman" w:eastAsia="方正仿宋简体" w:cs="Times New Roman"/>
          <w:sz w:val="34"/>
          <w:szCs w:val="34"/>
          <w:lang w:val="en-US" w:eastAsia="zh-CN"/>
        </w:rPr>
        <w:t>三</w:t>
      </w:r>
      <w:r>
        <w:rPr>
          <w:rFonts w:hint="default" w:ascii="Times New Roman" w:hAnsi="Times New Roman" w:eastAsia="方正仿宋简体" w:cs="Times New Roman"/>
          <w:sz w:val="34"/>
          <w:szCs w:val="34"/>
        </w:rPr>
        <w:t>巡察组对</w:t>
      </w:r>
      <w:r>
        <w:rPr>
          <w:rFonts w:hint="default" w:ascii="Times New Roman" w:hAnsi="Times New Roman" w:eastAsia="方正仿宋简体" w:cs="Times New Roman"/>
          <w:sz w:val="34"/>
          <w:szCs w:val="34"/>
          <w:lang w:val="en-US" w:eastAsia="zh-CN"/>
        </w:rPr>
        <w:t>东港市人民检察院党组进行了巡察</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val="en-US" w:eastAsia="zh-CN"/>
        </w:rPr>
        <w:t>2025年2</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19</w:t>
      </w:r>
      <w:r>
        <w:rPr>
          <w:rFonts w:hint="default" w:ascii="Times New Roman" w:hAnsi="Times New Roman" w:eastAsia="方正仿宋简体" w:cs="Times New Roman"/>
          <w:sz w:val="34"/>
          <w:szCs w:val="34"/>
        </w:rPr>
        <w:t>日，市委巡察组向</w:t>
      </w:r>
      <w:r>
        <w:rPr>
          <w:rFonts w:hint="default" w:ascii="Times New Roman" w:hAnsi="Times New Roman" w:eastAsia="方正仿宋简体" w:cs="Times New Roman"/>
          <w:sz w:val="34"/>
          <w:szCs w:val="34"/>
          <w:lang w:val="en-US" w:eastAsia="zh-CN"/>
        </w:rPr>
        <w:t>东港市人民检察院党组</w:t>
      </w:r>
      <w:r>
        <w:rPr>
          <w:rFonts w:hint="default" w:ascii="Times New Roman" w:hAnsi="Times New Roman" w:eastAsia="方正仿宋简体" w:cs="Times New Roman"/>
          <w:sz w:val="34"/>
          <w:szCs w:val="34"/>
        </w:rPr>
        <w:t>反馈了巡察意见。</w:t>
      </w:r>
      <w:r>
        <w:rPr>
          <w:rFonts w:hint="default" w:ascii="Times New Roman" w:hAnsi="Times New Roman" w:eastAsia="方正仿宋简体" w:cs="Times New Roman"/>
          <w:sz w:val="34"/>
          <w:szCs w:val="34"/>
          <w:lang w:val="en-US" w:eastAsia="zh-CN"/>
        </w:rPr>
        <w:t>按照《中国共产党巡视工作条例》有关要求，现将巡察整改情况予以公布。</w:t>
      </w:r>
    </w:p>
    <w:p>
      <w:pPr>
        <w:widowControl w:val="0"/>
        <w:wordWrap/>
        <w:adjustRightInd w:val="0"/>
        <w:snapToGrid w:val="0"/>
        <w:spacing w:before="0" w:after="0" w:line="579" w:lineRule="exact"/>
        <w:ind w:left="0" w:leftChars="0" w:right="0" w:firstLine="640" w:firstLineChars="200"/>
        <w:textAlignment w:val="auto"/>
        <w:outlineLvl w:val="9"/>
        <w:rPr>
          <w:rFonts w:hint="eastAsia" w:ascii="黑体" w:hAnsi="黑体" w:eastAsia="黑体" w:cs="黑体"/>
          <w:bCs/>
          <w:color w:val="000000"/>
          <w:kern w:val="0"/>
          <w:sz w:val="34"/>
          <w:szCs w:val="34"/>
          <w:lang w:val="en-US" w:eastAsia="zh-CN"/>
        </w:rPr>
      </w:pPr>
      <w:r>
        <w:rPr>
          <w:rFonts w:hint="eastAsia" w:ascii="黑体" w:hAnsi="黑体" w:eastAsia="黑体" w:cs="黑体"/>
          <w:bCs/>
          <w:color w:val="000000"/>
          <w:kern w:val="0"/>
          <w:sz w:val="34"/>
          <w:szCs w:val="34"/>
          <w:lang w:val="en-US" w:eastAsia="zh-CN"/>
        </w:rPr>
        <w:t>一、领导班子履行主体责任情况</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bCs/>
          <w:color w:val="000000"/>
          <w:kern w:val="0"/>
          <w:sz w:val="34"/>
          <w:szCs w:val="34"/>
          <w:lang w:val="en-US" w:eastAsia="zh-CN"/>
        </w:rPr>
      </w:pPr>
      <w:r>
        <w:rPr>
          <w:rFonts w:hint="default" w:ascii="Times New Roman" w:hAnsi="Times New Roman" w:eastAsia="方正仿宋简体" w:cs="Times New Roman"/>
          <w:bCs/>
          <w:color w:val="000000"/>
          <w:kern w:val="0"/>
          <w:sz w:val="34"/>
          <w:szCs w:val="34"/>
          <w:lang w:val="en-US" w:eastAsia="zh-CN"/>
        </w:rPr>
        <w:t>东港市人民检察院党组坚决贯彻落实党中央决策部署和习近平总书记关于巡视工作的重要论述，认真对照巡察反馈意见，高标准高质量推进巡察整改。</w:t>
      </w:r>
    </w:p>
    <w:p>
      <w:pPr>
        <w:widowControl w:val="0"/>
        <w:wordWrap/>
        <w:adjustRightInd w:val="0"/>
        <w:snapToGrid w:val="0"/>
        <w:spacing w:before="0" w:after="0" w:line="579" w:lineRule="exact"/>
        <w:ind w:left="0" w:leftChars="0" w:right="0" w:firstLine="640" w:firstLineChars="200"/>
        <w:textAlignment w:val="auto"/>
        <w:outlineLvl w:val="9"/>
        <w:rPr>
          <w:rFonts w:hint="eastAsia" w:ascii="方正楷体简体" w:hAnsi="方正楷体简体" w:eastAsia="方正楷体简体" w:cs="方正楷体简体"/>
          <w:color w:val="000000"/>
          <w:kern w:val="2"/>
          <w:sz w:val="34"/>
          <w:szCs w:val="34"/>
          <w:lang w:val="en-US" w:eastAsia="zh-CN" w:bidi="ar-SA"/>
        </w:rPr>
      </w:pPr>
      <w:r>
        <w:rPr>
          <w:rFonts w:hint="eastAsia" w:ascii="方正楷体简体" w:hAnsi="方正楷体简体" w:eastAsia="方正楷体简体" w:cs="方正楷体简体"/>
          <w:color w:val="000000"/>
          <w:kern w:val="2"/>
          <w:sz w:val="34"/>
          <w:szCs w:val="34"/>
          <w:lang w:val="en-US" w:eastAsia="zh-CN" w:bidi="ar-SA"/>
        </w:rPr>
        <w:t>（一）强化组织领导，压实整改责任</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kern w:val="2"/>
          <w:sz w:val="34"/>
          <w:szCs w:val="34"/>
          <w:lang w:val="en-US" w:eastAsia="zh-CN" w:bidi="ar-SA"/>
        </w:rPr>
      </w:pPr>
      <w:r>
        <w:rPr>
          <w:rFonts w:hint="default" w:ascii="Times New Roman" w:hAnsi="Times New Roman" w:eastAsia="方正仿宋简体" w:cs="Times New Roman"/>
          <w:color w:val="000000"/>
          <w:kern w:val="2"/>
          <w:sz w:val="34"/>
          <w:szCs w:val="34"/>
          <w:lang w:val="en-US" w:eastAsia="zh-CN" w:bidi="ar-SA"/>
        </w:rPr>
        <w:t>成立由党组书记、检察长任组长的巡察整改工作领导小组，各部门负责人担任组员，统筹协调整改工作。2月24日，领导小组召开会议，院党组成员认领问题，形成一级抓一级、层层抓落实的工作格局。实行“一把手”主责督办，班子成员“一岗双责”，对重点问题挂牌销号。</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（二）细化整改方案，精准施策</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kern w:val="2"/>
          <w:sz w:val="34"/>
          <w:szCs w:val="34"/>
          <w:lang w:val="en-US" w:eastAsia="zh-CN" w:bidi="ar-SA"/>
        </w:rPr>
      </w:pPr>
      <w:r>
        <w:rPr>
          <w:rFonts w:hint="default" w:ascii="Times New Roman" w:hAnsi="Times New Roman" w:eastAsia="方正仿宋简体" w:cs="Times New Roman"/>
          <w:color w:val="000000"/>
          <w:kern w:val="2"/>
          <w:sz w:val="34"/>
          <w:szCs w:val="34"/>
          <w:lang w:val="en-US" w:eastAsia="zh-CN" w:bidi="ar-SA"/>
        </w:rPr>
        <w:t>对照巡察反馈意见，逐条梳理分析，制定详细的整改方案，将整改任务分解为具体的整改事项，每个事项都明确整改目标、措施、责任人和完成时限。对能够立即整改的，即知即改、立行立改；对需要一定时间整改的，制定阶段性目标，稳步推进；对需要长期坚持的，建立长效机制，持续整改。</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（三）加强跟踪督办，确保整改实效</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kern w:val="2"/>
          <w:sz w:val="34"/>
          <w:szCs w:val="34"/>
          <w:lang w:val="en-US" w:eastAsia="zh-CN" w:bidi="ar-SA"/>
        </w:rPr>
      </w:pPr>
      <w:r>
        <w:rPr>
          <w:rFonts w:hint="default" w:ascii="Times New Roman" w:hAnsi="Times New Roman" w:eastAsia="方正仿宋简体" w:cs="Times New Roman"/>
          <w:color w:val="000000"/>
          <w:kern w:val="2"/>
          <w:sz w:val="34"/>
          <w:szCs w:val="34"/>
          <w:lang w:val="en-US" w:eastAsia="zh-CN" w:bidi="ar-SA"/>
        </w:rPr>
        <w:t>2月26日，召开巡察整改专题民主生活会，从政治建设、履职能力、纪律作风等方面剖析原因。对整改任务进行动态管理，定期跟踪整改进度。通过每月召开巡察工作领导小组会议，通报巡察整改工作进度，加强对责任部门的督促检查，对整改不力、进展缓慢的部门进行通报批评，确保整改工作按时序进度推进。</w:t>
      </w:r>
    </w:p>
    <w:p>
      <w:pPr>
        <w:widowControl w:val="0"/>
        <w:wordWrap/>
        <w:adjustRightInd w:val="0"/>
        <w:snapToGrid w:val="0"/>
        <w:spacing w:before="0" w:after="0" w:line="579" w:lineRule="exact"/>
        <w:ind w:left="0" w:leftChars="0" w:right="0" w:firstLine="640" w:firstLineChars="200"/>
        <w:textAlignment w:val="auto"/>
        <w:outlineLvl w:val="9"/>
        <w:rPr>
          <w:rFonts w:hint="default" w:ascii="黑体" w:hAnsi="黑体" w:eastAsia="黑体" w:cs="黑体"/>
          <w:bCs/>
          <w:color w:val="000000"/>
          <w:kern w:val="0"/>
          <w:sz w:val="34"/>
          <w:szCs w:val="34"/>
          <w:lang w:val="en-US" w:eastAsia="zh-CN"/>
        </w:rPr>
      </w:pPr>
      <w:r>
        <w:rPr>
          <w:rFonts w:hint="default" w:ascii="黑体" w:hAnsi="黑体" w:eastAsia="黑体" w:cs="黑体"/>
          <w:bCs/>
          <w:color w:val="000000"/>
          <w:kern w:val="0"/>
          <w:sz w:val="34"/>
          <w:szCs w:val="34"/>
          <w:lang w:val="en-US" w:eastAsia="zh-CN"/>
        </w:rPr>
        <w:t>二、巡察整改落实情况</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（一）贯彻落实上级决策部署不到位，优化营商环境建设还有差距</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1.学用结合不紧密。</w:t>
      </w:r>
      <w:r>
        <w:rPr>
          <w:rFonts w:hint="default" w:ascii="黑体" w:hAnsi="黑体" w:eastAsia="黑体" w:cs="黑体"/>
          <w:bCs/>
          <w:color w:val="000000"/>
          <w:kern w:val="0"/>
          <w:sz w:val="34"/>
          <w:szCs w:val="34"/>
          <w:lang w:val="en-US" w:eastAsia="zh-CN" w:bidi="ar-SA"/>
        </w:rPr>
        <w:t>一是</w:t>
      </w:r>
      <w:r>
        <w:rPr>
          <w:rFonts w:hint="default" w:ascii="Times New Roman" w:hAnsi="Times New Roman" w:eastAsia="方正仿宋简体" w:cs="Times New Roman"/>
          <w:sz w:val="34"/>
          <w:szCs w:val="34"/>
          <w:lang w:val="en-US" w:eastAsia="zh-CN"/>
        </w:rPr>
        <w:t>将《中共中央关于加强新时代检察机关法律监督工作的意见》列入党组理论中心组年度学习计划，采取集中学习研讨、个人自学方式开展学习。</w:t>
      </w:r>
      <w:r>
        <w:rPr>
          <w:rFonts w:hint="default" w:ascii="黑体" w:hAnsi="黑体" w:eastAsia="黑体" w:cs="黑体"/>
          <w:bCs/>
          <w:color w:val="000000"/>
          <w:kern w:val="0"/>
          <w:sz w:val="34"/>
          <w:szCs w:val="34"/>
          <w:lang w:val="en-US" w:eastAsia="zh-CN" w:bidi="ar-SA"/>
        </w:rPr>
        <w:t>二是</w:t>
      </w:r>
      <w:r>
        <w:rPr>
          <w:rFonts w:hint="default" w:ascii="Times New Roman" w:hAnsi="Times New Roman" w:eastAsia="方正仿宋简体" w:cs="Times New Roman"/>
          <w:sz w:val="34"/>
          <w:szCs w:val="34"/>
          <w:lang w:val="en-US" w:eastAsia="zh-CN"/>
        </w:rPr>
        <w:t>召开党组会，结合工作实际研究部署《中共中央关于加强新时代检察机关法律监督工作的意见》。</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2.案件办理质量不高。</w:t>
      </w:r>
      <w:r>
        <w:rPr>
          <w:rFonts w:hint="default" w:ascii="黑体" w:hAnsi="黑体" w:eastAsia="黑体" w:cs="黑体"/>
          <w:bCs/>
          <w:color w:val="000000"/>
          <w:kern w:val="0"/>
          <w:sz w:val="34"/>
          <w:szCs w:val="34"/>
          <w:lang w:val="en-US" w:eastAsia="zh-CN"/>
        </w:rPr>
        <w:t>一是</w:t>
      </w:r>
      <w:r>
        <w:rPr>
          <w:rFonts w:hint="default" w:ascii="Times New Roman" w:hAnsi="Times New Roman" w:eastAsia="方正仿宋简体" w:cs="Times New Roman"/>
          <w:sz w:val="34"/>
          <w:szCs w:val="34"/>
          <w:lang w:val="en-US" w:eastAsia="zh-CN"/>
        </w:rPr>
        <w:t>积极加强与公安机关的协作配合，落实与公安会签的《关于逮捕社会危险性条件适用意见》。通过侦查监督与协作配合办公室平台，提前介入案件侦查，引导公安机关精准取证，重点评估社会危险性。2025年已提前介入案件侦查81件。</w:t>
      </w:r>
      <w:r>
        <w:rPr>
          <w:rFonts w:hint="default" w:ascii="黑体" w:hAnsi="黑体" w:eastAsia="黑体" w:cs="黑体"/>
          <w:bCs/>
          <w:color w:val="000000"/>
          <w:kern w:val="0"/>
          <w:sz w:val="34"/>
          <w:szCs w:val="34"/>
          <w:lang w:val="en-US" w:eastAsia="zh-CN"/>
        </w:rPr>
        <w:t>二是</w:t>
      </w:r>
      <w:r>
        <w:rPr>
          <w:rFonts w:hint="default" w:ascii="Times New Roman" w:hAnsi="Times New Roman" w:eastAsia="方正仿宋简体" w:cs="Times New Roman"/>
          <w:sz w:val="34"/>
          <w:szCs w:val="34"/>
          <w:lang w:val="en-US" w:eastAsia="zh-CN"/>
        </w:rPr>
        <w:t>加强与公安、法院沟通协调，针对案件出现的新证据、新情况及时沟通确保案件能够正常办理、被告人能够及时到案。</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3.推进全面振兴新突破三年行动力度不足。</w:t>
      </w:r>
      <w:r>
        <w:rPr>
          <w:rFonts w:hint="default" w:ascii="黑体" w:hAnsi="黑体" w:eastAsia="黑体" w:cs="黑体"/>
          <w:bCs/>
          <w:color w:val="000000"/>
          <w:kern w:val="0"/>
          <w:sz w:val="34"/>
          <w:szCs w:val="34"/>
          <w:lang w:val="en-US" w:eastAsia="zh-CN"/>
        </w:rPr>
        <w:t>一是</w:t>
      </w:r>
      <w:r>
        <w:rPr>
          <w:rFonts w:hint="default" w:ascii="Times New Roman" w:hAnsi="Times New Roman" w:eastAsia="方正仿宋简体" w:cs="Times New Roman"/>
          <w:color w:val="auto"/>
          <w:kern w:val="2"/>
          <w:sz w:val="34"/>
          <w:szCs w:val="34"/>
          <w:highlight w:val="none"/>
          <w:lang w:val="en-US" w:eastAsia="zh-CN" w:bidi="ar-SA"/>
        </w:rPr>
        <w:t>组织召开全面振兴新突破三年行动领导小组调度会，对任务落实情况进行持续研究部署。</w:t>
      </w:r>
      <w:r>
        <w:rPr>
          <w:rFonts w:hint="default" w:ascii="黑体" w:hAnsi="黑体" w:eastAsia="黑体" w:cs="黑体"/>
          <w:bCs/>
          <w:color w:val="000000"/>
          <w:kern w:val="0"/>
          <w:sz w:val="34"/>
          <w:szCs w:val="34"/>
          <w:lang w:val="en-US" w:eastAsia="zh-CN"/>
        </w:rPr>
        <w:t>二是</w:t>
      </w:r>
      <w:r>
        <w:rPr>
          <w:rFonts w:hint="default" w:ascii="Times New Roman" w:hAnsi="Times New Roman" w:eastAsia="方正仿宋简体" w:cs="Times New Roman"/>
          <w:sz w:val="34"/>
          <w:szCs w:val="34"/>
          <w:highlight w:val="none"/>
        </w:rPr>
        <w:t>拓宽安全生产领域线索来源渠道，依据与人大、政协建立的人大代表建议、政协委员提案衔接转化机制，获取安全生产领域案件线索。</w:t>
      </w:r>
      <w:r>
        <w:rPr>
          <w:rFonts w:hint="default" w:ascii="Times New Roman" w:hAnsi="Times New Roman" w:eastAsia="方正仿宋简体" w:cs="Times New Roman"/>
          <w:sz w:val="34"/>
          <w:szCs w:val="34"/>
          <w:highlight w:val="none"/>
          <w:lang w:eastAsia="zh-CN"/>
        </w:rPr>
        <w:t>办理涉及农村道路安全及飞线充电相关行政公益诉讼案件。</w:t>
      </w:r>
      <w:r>
        <w:rPr>
          <w:rFonts w:hint="default" w:ascii="黑体" w:hAnsi="黑体" w:eastAsia="黑体" w:cs="黑体"/>
          <w:bCs/>
          <w:color w:val="000000"/>
          <w:kern w:val="0"/>
          <w:sz w:val="34"/>
          <w:szCs w:val="34"/>
          <w:lang w:val="en-US" w:eastAsia="zh-CN"/>
        </w:rPr>
        <w:t>三是</w:t>
      </w:r>
      <w:r>
        <w:rPr>
          <w:rFonts w:hint="default" w:ascii="Times New Roman" w:hAnsi="Times New Roman" w:eastAsia="方正仿宋简体" w:cs="Times New Roman"/>
          <w:sz w:val="34"/>
          <w:szCs w:val="34"/>
          <w:highlight w:val="none"/>
          <w:lang w:val="en-US" w:eastAsia="zh-CN"/>
        </w:rPr>
        <w:t>借助最高检大数据监督平台拓宽案件线索来源办理民事各类案件7件；转变办案思维，从注重对程序的审查转变到对人的审查，对办理的每一件民事案件均开展实质性审查，筛查涉及深层次违法案件线索。</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4.优化营商环境建设有短板。</w:t>
      </w:r>
      <w:r>
        <w:rPr>
          <w:rFonts w:hint="default" w:ascii="黑体" w:hAnsi="黑体" w:eastAsia="黑体" w:cs="黑体"/>
          <w:bCs/>
          <w:color w:val="000000"/>
          <w:kern w:val="0"/>
          <w:sz w:val="34"/>
          <w:szCs w:val="34"/>
          <w:lang w:val="en-US" w:eastAsia="zh-CN" w:bidi="ar-SA"/>
        </w:rPr>
        <w:t>一是</w:t>
      </w:r>
      <w:r>
        <w:rPr>
          <w:rFonts w:hint="default" w:ascii="Times New Roman" w:hAnsi="Times New Roman" w:eastAsia="方正仿宋简体" w:cs="Times New Roman"/>
          <w:sz w:val="34"/>
          <w:szCs w:val="34"/>
          <w:lang w:val="en-US" w:eastAsia="zh-CN"/>
        </w:rPr>
        <w:t>依托市委政法委组织的法治服务活动，围绕海洋产业向参会人员介绍本单位法治服务保障举措，公布本院办理的优化营商环境典型案例。严厉打击扰乱企业生产秩序的犯罪行为，常态化开展扫黑除恶斗争，加大对破坏社会主义市场经济秩序类犯罪的打击力度，切实维护正常经营秩序。</w:t>
      </w:r>
      <w:r>
        <w:rPr>
          <w:rFonts w:hint="default" w:ascii="黑体" w:hAnsi="黑体" w:eastAsia="黑体" w:cs="黑体"/>
          <w:bCs/>
          <w:color w:val="000000"/>
          <w:kern w:val="0"/>
          <w:sz w:val="34"/>
          <w:szCs w:val="34"/>
          <w:lang w:val="en-US" w:eastAsia="zh-CN" w:bidi="ar-SA"/>
        </w:rPr>
        <w:t>二是</w:t>
      </w:r>
      <w:r>
        <w:rPr>
          <w:rFonts w:hint="default" w:ascii="Times New Roman" w:hAnsi="Times New Roman" w:eastAsia="方正仿宋简体" w:cs="Times New Roman"/>
          <w:sz w:val="34"/>
          <w:szCs w:val="34"/>
          <w:lang w:val="en-US" w:eastAsia="zh-CN"/>
        </w:rPr>
        <w:t>结合企业需求开展普法活动，面向企业开展法律服务，进企业普法3次。</w:t>
      </w:r>
      <w:r>
        <w:rPr>
          <w:rFonts w:hint="eastAsia" w:ascii="黑体" w:hAnsi="黑体" w:eastAsia="黑体" w:cs="黑体"/>
          <w:sz w:val="34"/>
          <w:szCs w:val="34"/>
          <w:lang w:val="en-US" w:eastAsia="zh-CN"/>
        </w:rPr>
        <w:t>三是</w:t>
      </w:r>
      <w:r>
        <w:rPr>
          <w:rFonts w:hint="default" w:ascii="Times New Roman" w:hAnsi="Times New Roman" w:eastAsia="方正仿宋简体" w:cs="Times New Roman"/>
          <w:sz w:val="34"/>
          <w:szCs w:val="34"/>
          <w:lang w:val="en-US" w:eastAsia="zh-CN"/>
        </w:rPr>
        <w:t>按时启用“12309”公共服务大厅自助查询系统，并制作电子版及纸质版案件管理业务流程指南，梳理控告申诉、民事监督、司法救助等核心业务类型，流程可视化公示，通过电子屏动态更新流程说明，支持扫码获取详细指引。</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（二）“四大检察”工作存在短板弱项，践行新时代检察机关职责使命有差距</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sz w:val="34"/>
          <w:szCs w:val="34"/>
          <w:lang w:val="en-US" w:eastAsia="zh-CN"/>
        </w:rPr>
        <w:t>1.刑事检察侦查监督、审判监督力度不够。</w:t>
      </w:r>
      <w:r>
        <w:rPr>
          <w:rFonts w:hint="default" w:ascii="Times New Roman" w:hAnsi="Times New Roman" w:eastAsia="方正仿宋简体" w:cs="Times New Roman"/>
          <w:color w:val="auto"/>
          <w:kern w:val="2"/>
          <w:sz w:val="34"/>
          <w:szCs w:val="34"/>
          <w:highlight w:val="none"/>
          <w:lang w:val="en-US" w:eastAsia="zh-CN" w:bidi="ar-SA"/>
        </w:rPr>
        <w:t>通过提前介入案件，引导公安机关侦查取证，查阅卷宗、座谈等方式共同探讨案情，将引导取证与追诉追漏相结合，为纠正漏捕漏诉夯实基础。2025年纠正公安追捕案件4件，追诉1件。</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sz w:val="34"/>
          <w:szCs w:val="34"/>
          <w:lang w:val="en-US" w:eastAsia="zh-CN"/>
        </w:rPr>
        <w:t>2.行政非诉执行监督覆盖面窄。</w:t>
      </w:r>
      <w:r>
        <w:rPr>
          <w:rFonts w:hint="default" w:ascii="Times New Roman" w:hAnsi="Times New Roman" w:eastAsia="方正仿宋简体" w:cs="Times New Roman"/>
          <w:color w:val="auto"/>
          <w:kern w:val="2"/>
          <w:sz w:val="34"/>
          <w:szCs w:val="34"/>
          <w:highlight w:val="none"/>
          <w:lang w:val="en-US" w:eastAsia="zh-CN" w:bidi="ar-SA"/>
        </w:rPr>
        <w:t>借助“信用丹东”行政执法数据平台，定期获取涉企业为行政处罚对象的案件信息，通过与人民法院强制执行案件数据进行比对，主动排查其未申请强制执行或执行不到位的线索。联合市司法局，要求辖区内各行政执法机关对其作出的行政处罚决定及时报送司法局备案，同时司法局定期向我院移送行政机关行政处罚情况，再结合行政机关向人民法院申请执行的信息，碰撞出非诉执行申请情况。</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highlight w:val="yellow"/>
          <w:lang w:val="en-US" w:eastAsia="zh-CN"/>
        </w:rPr>
      </w:pPr>
      <w:r>
        <w:rPr>
          <w:rFonts w:hint="default" w:ascii="Times New Roman" w:hAnsi="Times New Roman" w:eastAsia="方正仿宋简体" w:cs="Times New Roman"/>
          <w:b/>
          <w:bCs/>
          <w:kern w:val="2"/>
          <w:sz w:val="34"/>
          <w:szCs w:val="34"/>
          <w:lang w:val="en-US" w:eastAsia="zh-CN" w:bidi="ar-SA"/>
        </w:rPr>
        <w:t>3.民事诉讼监督偏重程序性监督。</w:t>
      </w:r>
      <w:r>
        <w:rPr>
          <w:rFonts w:hint="default" w:ascii="Times New Roman" w:hAnsi="Times New Roman" w:eastAsia="方正仿宋简体" w:cs="Times New Roman"/>
          <w:sz w:val="34"/>
          <w:szCs w:val="34"/>
          <w:lang w:val="en-US" w:eastAsia="zh-CN"/>
        </w:rPr>
        <w:t>借助最高检大数据监督平台拓宽案件线索来源办理民事各类案件7件；积极落实最高检开展的违规终本专项监督工作，运用最高检大数据监督模型“终结本次执行程序被执行人领取养老金监督模型”，调取市人民法院2020年以来终本执行案件11000余件，通过梳理分析向人民法院发出检察建议4件；转变办案思维，从注重对程序的审查转变到对人的审查，对办理的每一件民事案件均开展实质性审查，筛查涉及深层次违法案件线索。</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sz w:val="34"/>
          <w:szCs w:val="34"/>
          <w:lang w:val="en-US" w:eastAsia="zh-CN"/>
        </w:rPr>
        <w:t>4.公益诉讼案件质效不高。</w:t>
      </w:r>
      <w:r>
        <w:rPr>
          <w:rFonts w:hint="default" w:ascii="Times New Roman" w:hAnsi="Times New Roman" w:eastAsia="方正仿宋简体" w:cs="Times New Roman"/>
          <w:color w:val="auto"/>
          <w:kern w:val="2"/>
          <w:sz w:val="34"/>
          <w:szCs w:val="34"/>
          <w:highlight w:val="none"/>
          <w:lang w:val="en-US" w:eastAsia="zh-CN" w:bidi="ar-SA"/>
        </w:rPr>
        <w:t>通过大数据技术分析，精准发现公益诉讼案件线索，提高线索发现的效率和准确性，为办案提供有力支持；案件办理中准确确定适合行政主体，精准调查取证确定违法行为及公益损害事实，确保每一件案件均具有可诉性；推动“公益诉讼+社会治理”长效机制，推动公益诉讼从个案办理向社会治理延伸，通过案件办理，深入剖析公益损害背后的行业监管漏洞、行政监管盲区等问题，推动相关部门开展行业整顿、制度完善。</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highlight w:val="yellow"/>
          <w:lang w:val="en-US" w:eastAsia="zh-CN"/>
        </w:rPr>
      </w:pPr>
      <w:r>
        <w:rPr>
          <w:rFonts w:hint="default" w:ascii="Times New Roman" w:hAnsi="Times New Roman" w:eastAsia="方正仿宋简体" w:cs="Times New Roman"/>
          <w:b/>
          <w:bCs/>
          <w:kern w:val="2"/>
          <w:sz w:val="34"/>
          <w:szCs w:val="34"/>
          <w:lang w:val="en-US" w:eastAsia="zh-CN" w:bidi="ar-SA"/>
        </w:rPr>
        <w:t>5.公安机关行政违法行为监督不到位。</w:t>
      </w:r>
      <w:r>
        <w:rPr>
          <w:rFonts w:hint="eastAsia" w:ascii="黑体" w:hAnsi="黑体" w:eastAsia="黑体" w:cs="黑体"/>
          <w:sz w:val="34"/>
          <w:szCs w:val="34"/>
          <w:highlight w:val="none"/>
          <w:lang w:val="en-US" w:eastAsia="zh-CN"/>
        </w:rPr>
        <w:t>一是</w:t>
      </w:r>
      <w:r>
        <w:rPr>
          <w:rFonts w:hint="default" w:ascii="Times New Roman" w:hAnsi="Times New Roman" w:eastAsia="方正仿宋简体" w:cs="Times New Roman"/>
          <w:sz w:val="34"/>
          <w:szCs w:val="34"/>
          <w:highlight w:val="none"/>
          <w:lang w:val="en-US" w:eastAsia="zh-CN"/>
        </w:rPr>
        <w:t>积极推进协同监督机制，与市司法局沟通建立“府检联动”协同机制，积极争取司法局的支持，推进行政违法行为监督与行政执法监督等有机贯通；建立案件移送机制，定期将市公安局为对象的复议案件、诉讼案件移送给我院，我院有针对性的开展行政违法行为监督工作。</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highlight w:val="none"/>
          <w:lang w:val="en-US" w:eastAsia="zh-CN"/>
        </w:rPr>
        <w:t>制定固定监督节点和计划，以每季度为监督对象，到人民法院调取东港市公安局为被告的行政诉讼案件；调取近五年东港市公安局为被告的行政诉讼案件，逐案审查，全面系统监督，经过调卷审查，向公安机关发出检察建议5件。</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highlight w:val="yellow"/>
          <w:lang w:val="en-US" w:eastAsia="zh-CN"/>
        </w:rPr>
      </w:pPr>
      <w:r>
        <w:rPr>
          <w:rFonts w:hint="default" w:ascii="Times New Roman" w:hAnsi="Times New Roman" w:eastAsia="方正仿宋简体" w:cs="Times New Roman"/>
          <w:b/>
          <w:bCs/>
          <w:sz w:val="34"/>
          <w:szCs w:val="34"/>
          <w:lang w:val="en-US" w:eastAsia="zh-CN"/>
        </w:rPr>
        <w:t>6.社区矫正执行监督手段单一、缺乏力度。</w:t>
      </w:r>
      <w:r>
        <w:rPr>
          <w:rFonts w:hint="default" w:ascii="黑体" w:hAnsi="黑体" w:eastAsia="黑体" w:cs="黑体"/>
          <w:kern w:val="2"/>
          <w:sz w:val="34"/>
          <w:szCs w:val="34"/>
          <w:highlight w:val="none"/>
          <w:lang w:val="en-US" w:eastAsia="zh-CN" w:bidi="ar-SA"/>
        </w:rPr>
        <w:t>一是</w:t>
      </w:r>
      <w:r>
        <w:rPr>
          <w:rFonts w:hint="default" w:ascii="Times New Roman" w:hAnsi="Times New Roman" w:eastAsia="方正仿宋简体" w:cs="Times New Roman"/>
          <w:sz w:val="34"/>
          <w:szCs w:val="34"/>
          <w:highlight w:val="none"/>
          <w:lang w:val="en-US" w:eastAsia="zh-CN"/>
        </w:rPr>
        <w:t>对在矫人员较多的6个司法所巡回检察，调阅卷宗47本，在矫人员谈话9人，对社区矫正工作全方面进行监督。利用大数据模型摸排发现7条可能存在的社区矫正脱、漏管线索。</w:t>
      </w:r>
      <w:r>
        <w:rPr>
          <w:rFonts w:hint="default" w:ascii="黑体" w:hAnsi="黑体" w:eastAsia="黑体" w:cs="黑体"/>
          <w:kern w:val="2"/>
          <w:sz w:val="34"/>
          <w:szCs w:val="34"/>
          <w:highlight w:val="none"/>
          <w:lang w:val="en-US" w:eastAsia="zh-CN" w:bidi="ar-SA"/>
        </w:rPr>
        <w:t>二是</w:t>
      </w:r>
      <w:r>
        <w:rPr>
          <w:rFonts w:hint="default" w:ascii="Times New Roman" w:hAnsi="Times New Roman" w:eastAsia="方正仿宋简体" w:cs="Times New Roman"/>
          <w:sz w:val="34"/>
          <w:szCs w:val="34"/>
          <w:highlight w:val="none"/>
          <w:lang w:val="en-US" w:eastAsia="zh-CN"/>
        </w:rPr>
        <w:t>完善社区矫正工作方法，通过召开部门会议，传达开展社区矫正监督工作方法，并已在社区矫正监督工作中使用相应工作方法及大数据监督模型。召开部门会议，并制定《东港市人民检察院刑事执行检察业务内部审批流程》。</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（三）防范化解重大风险隐患还有缺失</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1.刑事检察执行监督工作有漏洞</w:t>
      </w:r>
      <w:r>
        <w:rPr>
          <w:rFonts w:hint="default" w:ascii="Times New Roman" w:hAnsi="Times New Roman" w:eastAsia="方正仿宋简体" w:cs="Times New Roman"/>
          <w:color w:val="auto"/>
          <w:kern w:val="2"/>
          <w:sz w:val="34"/>
          <w:szCs w:val="34"/>
          <w:highlight w:val="none"/>
          <w:lang w:val="en-US" w:eastAsia="zh-CN" w:bidi="ar-SA"/>
        </w:rPr>
        <w:t>。建立暂予监外执行案件内部制约机制，员额检察官办理完毕并拿出承办意见后，上报至主管检察长审批，如意见发生分歧，则召开检察官联席会议讨论，若检察官联席会议讨论结果仍有分歧，需上报至检察委员会讨论决定；对于除暂予监外执行案件以外的其他刑事执行监督案件，一般案件由员额检察官直接办理决定，重大疑难复杂案件以及在本地有较大影响案件，需要上报至主管检察长审批，如意见发生分歧则召开检察官联席会议讨论，若检察官联席会议讨论结果仍有分歧，需上报至检察委员会讨论决定。</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（四）落实全面从严治党政治责任不到位，执行内控制度不严格</w:t>
      </w:r>
    </w:p>
    <w:p>
      <w:pPr>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1.落实主体责任有缺失。</w:t>
      </w:r>
      <w:r>
        <w:rPr>
          <w:rFonts w:hint="default" w:ascii="Times New Roman" w:hAnsi="Times New Roman" w:eastAsia="方正仿宋简体" w:cs="Times New Roman"/>
          <w:color w:val="auto"/>
          <w:kern w:val="2"/>
          <w:sz w:val="34"/>
          <w:szCs w:val="34"/>
          <w:highlight w:val="none"/>
          <w:lang w:val="en-US" w:eastAsia="zh-CN" w:bidi="ar-SA"/>
        </w:rPr>
        <w:t>制定《东港市人民检察院2025年检务督察工作要点》。认真开展节日前提醒谈话。组织全体干警参加职务犯罪案件庭审旁听1次。</w:t>
      </w:r>
    </w:p>
    <w:p>
      <w:pPr>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2.招投标管理不严格，存在廉政风险隐患。</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lang w:val="en-US" w:eastAsia="zh-CN"/>
        </w:rPr>
        <w:t>完善《东港市人民检察院内部控制管理制度》，严格采购验收工作流程，明确采购验收工作职责分工。验收时组织具有相关专业能力或从事相关领域工作的3人以上单数人员进行，按照合同中验收有关事项和标准对履约情况进行确认，提出个人验收意见，在验收书上签字确认，并由检务督察部门人员对验收过程进行监督。</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lang w:val="en-US" w:eastAsia="zh-CN"/>
        </w:rPr>
        <w:t>研究制定《东港市人民检察院合同审批表》，细化合同审批流程。2025年至今，单位签订的20份合同，均按照相关规定，由法定代表人在《合同审批表》中进行书面授权，由被授权人在授权范围内进行合同签署。</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3.工作作风不扎实。</w:t>
      </w:r>
      <w:r>
        <w:rPr>
          <w:rFonts w:hint="default" w:ascii="Times New Roman" w:hAnsi="Times New Roman" w:eastAsia="方正仿宋简体" w:cs="Times New Roman"/>
          <w:color w:val="auto"/>
          <w:kern w:val="2"/>
          <w:sz w:val="34"/>
          <w:szCs w:val="34"/>
          <w:highlight w:val="none"/>
          <w:lang w:val="en-US" w:eastAsia="zh-CN" w:bidi="ar-SA"/>
        </w:rPr>
        <w:t xml:space="preserve">将2021年﹣2024年的评查案件178件中的52 件存在办案程序不规范、法律文书制作不规范等问题明细表发至相关业务部门，再次自查对评查发现的问题是否积极整改并出具整改报告。组织召开检委会，制定本院 2025 年度案件检查与评查工作方案。2025 年7月1日--19日，组织开展对食品安全领域公益诉讼案件专项评查活动，按照 20％比例随机抽取 2021 年以来本院已办结的食品安全领域行政公益诉讼案件。通过评查纠正文书制作不规范案件共计5件。  </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（五）贯彻落实新时代党的组织路线不到位，基层党支部建设存在短板</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1.落实“三重一大”事项决策制度不严格。</w:t>
      </w:r>
      <w:r>
        <w:rPr>
          <w:rFonts w:hint="default" w:ascii="Times New Roman" w:hAnsi="Times New Roman" w:eastAsia="方正仿宋简体" w:cs="Times New Roman"/>
          <w:color w:val="auto"/>
          <w:kern w:val="2"/>
          <w:sz w:val="34"/>
          <w:szCs w:val="34"/>
          <w:highlight w:val="none"/>
          <w:lang w:val="en-US" w:eastAsia="zh-CN" w:bidi="ar-SA"/>
        </w:rPr>
        <w:t>针对现有的34名劳务派遣人员，经过党组会研究后进行岗位分配，今后的劳务派遣人员任用分配必须经党组会议研究。</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2.民主生活会质量不高。</w:t>
      </w:r>
      <w:r>
        <w:rPr>
          <w:rFonts w:hint="default" w:ascii="Times New Roman" w:hAnsi="Times New Roman" w:eastAsia="方正仿宋简体" w:cs="Times New Roman"/>
          <w:color w:val="auto"/>
          <w:kern w:val="2"/>
          <w:sz w:val="34"/>
          <w:szCs w:val="34"/>
          <w:highlight w:val="none"/>
          <w:lang w:val="en-US" w:eastAsia="zh-CN" w:bidi="ar-SA"/>
        </w:rPr>
        <w:t>本年度民主生活会召开前做好工作提示，召开后做好立卷归档工作，及时将征求意见情况、个人整改清单等归档保存。班子成员充分运用批评和自我批评武器，实事求是指出思想、政治、作风、纪律等方面的不足。</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3.党支部规范化建设有差距。</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kern w:val="2"/>
          <w:sz w:val="34"/>
          <w:szCs w:val="34"/>
          <w:highlight w:val="none"/>
          <w:lang w:val="en-US" w:eastAsia="zh-CN" w:bidi="ar-SA"/>
        </w:rPr>
        <w:t>党总支书记已经补选完毕，开展1次换届选举专题培训，提高党务干部素质能力。</w:t>
      </w:r>
      <w:r>
        <w:rPr>
          <w:rFonts w:hint="eastAsia" w:ascii="黑体" w:hAnsi="黑体" w:eastAsia="黑体" w:cs="黑体"/>
          <w:color w:val="auto"/>
          <w:kern w:val="2"/>
          <w:sz w:val="34"/>
          <w:szCs w:val="34"/>
          <w:highlight w:val="none"/>
          <w:lang w:val="en-US" w:eastAsia="zh-CN" w:bidi="ar-SA"/>
        </w:rPr>
        <w:t>二是</w:t>
      </w:r>
      <w:r>
        <w:rPr>
          <w:rFonts w:hint="default" w:ascii="Times New Roman" w:hAnsi="Times New Roman" w:eastAsia="方正仿宋简体" w:cs="Times New Roman"/>
          <w:color w:val="auto"/>
          <w:kern w:val="2"/>
          <w:sz w:val="34"/>
          <w:szCs w:val="34"/>
          <w:highlight w:val="none"/>
          <w:lang w:val="en-US" w:eastAsia="zh-CN" w:bidi="ar-SA"/>
        </w:rPr>
        <w:t>党组织换届时，重新调整支部委员设置，设置组织委员、宣传委员、纪检委员。</w:t>
      </w:r>
      <w:r>
        <w:rPr>
          <w:rFonts w:hint="default" w:ascii="黑体" w:hAnsi="黑体" w:eastAsia="黑体" w:cs="黑体"/>
          <w:color w:val="auto"/>
          <w:kern w:val="2"/>
          <w:sz w:val="34"/>
          <w:szCs w:val="34"/>
          <w:highlight w:val="none"/>
          <w:lang w:val="en-US" w:eastAsia="zh-CN" w:bidi="ar-SA"/>
        </w:rPr>
        <w:t>三是</w:t>
      </w:r>
      <w:r>
        <w:rPr>
          <w:rFonts w:hint="default" w:ascii="Times New Roman" w:hAnsi="Times New Roman" w:eastAsia="方正仿宋简体" w:cs="Times New Roman"/>
          <w:color w:val="auto"/>
          <w:kern w:val="2"/>
          <w:sz w:val="34"/>
          <w:szCs w:val="34"/>
          <w:highlight w:val="none"/>
          <w:lang w:val="en-US" w:eastAsia="zh-CN" w:bidi="ar-SA"/>
        </w:rPr>
        <w:t>对各党支部材料情况进行抽查，每季度组织一次，重点检查是否聚焦主题、问题是否具体。2025年抽查2次，查出问题4个，已全部反馈至党支部整改完成。</w:t>
      </w:r>
      <w:r>
        <w:rPr>
          <w:rFonts w:hint="default" w:ascii="黑体" w:hAnsi="黑体" w:eastAsia="黑体" w:cs="黑体"/>
          <w:color w:val="auto"/>
          <w:kern w:val="2"/>
          <w:sz w:val="34"/>
          <w:szCs w:val="34"/>
          <w:highlight w:val="none"/>
          <w:lang w:val="en-US" w:eastAsia="zh-CN" w:bidi="ar-SA"/>
        </w:rPr>
        <w:t>四是</w:t>
      </w:r>
      <w:r>
        <w:rPr>
          <w:rFonts w:hint="default" w:ascii="Times New Roman" w:hAnsi="Times New Roman" w:eastAsia="方正仿宋简体" w:cs="Times New Roman"/>
          <w:color w:val="auto"/>
          <w:kern w:val="2"/>
          <w:sz w:val="34"/>
          <w:szCs w:val="34"/>
          <w:highlight w:val="none"/>
          <w:lang w:val="en-US" w:eastAsia="zh-CN" w:bidi="ar-SA"/>
        </w:rPr>
        <w:t>院党组成员已经全部到所在党支部讲授1次党课。</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4.选人用人不规范。</w:t>
      </w:r>
      <w:r>
        <w:rPr>
          <w:rFonts w:hint="default" w:ascii="黑体" w:hAnsi="黑体" w:eastAsia="黑体" w:cs="黑体"/>
          <w:color w:val="auto"/>
          <w:kern w:val="2"/>
          <w:sz w:val="34"/>
          <w:szCs w:val="34"/>
          <w:highlight w:val="none"/>
          <w:lang w:val="en-US" w:eastAsia="zh-CN" w:bidi="ar-SA"/>
        </w:rPr>
        <w:t>一是</w:t>
      </w:r>
      <w:r>
        <w:rPr>
          <w:rFonts w:hint="default" w:ascii="Times New Roman" w:hAnsi="Times New Roman" w:eastAsia="方正仿宋简体" w:cs="Times New Roman"/>
          <w:color w:val="auto"/>
          <w:kern w:val="2"/>
          <w:sz w:val="34"/>
          <w:szCs w:val="34"/>
          <w:highlight w:val="none"/>
          <w:lang w:val="en-US" w:eastAsia="zh-CN" w:bidi="ar-SA"/>
        </w:rPr>
        <w:t>每月对人事工作提前谋划，能整合一次会议研究的合并召开。除特殊情况外，在符合相关程序条件下，每月最多研究一次人事工作。</w:t>
      </w:r>
      <w:r>
        <w:rPr>
          <w:rFonts w:hint="default" w:ascii="黑体" w:hAnsi="黑体" w:eastAsia="黑体" w:cs="黑体"/>
          <w:color w:val="auto"/>
          <w:kern w:val="2"/>
          <w:sz w:val="34"/>
          <w:szCs w:val="34"/>
          <w:highlight w:val="none"/>
          <w:lang w:val="en-US" w:eastAsia="zh-CN" w:bidi="ar-SA"/>
        </w:rPr>
        <w:t>二是</w:t>
      </w:r>
      <w:r>
        <w:rPr>
          <w:rFonts w:hint="default" w:ascii="Times New Roman" w:hAnsi="Times New Roman" w:eastAsia="方正仿宋简体" w:cs="Times New Roman"/>
          <w:color w:val="auto"/>
          <w:kern w:val="2"/>
          <w:sz w:val="34"/>
          <w:szCs w:val="34"/>
          <w:highlight w:val="none"/>
          <w:lang w:val="en-US" w:eastAsia="zh-CN" w:bidi="ar-SA"/>
        </w:rPr>
        <w:t>开展1次干部选拔任用专题培训，组织工作人员学习相关程序规定，严格按照文件要求开展干部选拔任用工作。</w:t>
      </w:r>
      <w:r>
        <w:rPr>
          <w:rFonts w:hint="default" w:ascii="黑体" w:hAnsi="黑体" w:eastAsia="黑体" w:cs="黑体"/>
          <w:color w:val="auto"/>
          <w:kern w:val="2"/>
          <w:sz w:val="34"/>
          <w:szCs w:val="34"/>
          <w:highlight w:val="none"/>
          <w:lang w:val="en-US" w:eastAsia="zh-CN" w:bidi="ar-SA"/>
        </w:rPr>
        <w:t>三是</w:t>
      </w:r>
      <w:r>
        <w:rPr>
          <w:rFonts w:hint="default" w:ascii="Times New Roman" w:hAnsi="Times New Roman" w:eastAsia="方正仿宋简体" w:cs="Times New Roman"/>
          <w:color w:val="auto"/>
          <w:kern w:val="2"/>
          <w:sz w:val="34"/>
          <w:szCs w:val="34"/>
          <w:highlight w:val="none"/>
          <w:lang w:val="en-US" w:eastAsia="zh-CN" w:bidi="ar-SA"/>
        </w:rPr>
        <w:t>在拟提拔人选考察中公示期不得少于5个工作日，在2025年提拔考察工作中，严格遵照此规定。</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b/>
          <w:bCs/>
          <w:kern w:val="2"/>
          <w:sz w:val="34"/>
          <w:szCs w:val="34"/>
          <w:lang w:val="en-US" w:eastAsia="zh-CN" w:bidi="ar-SA"/>
        </w:rPr>
        <w:t>5.干部队伍建设还有差距。</w:t>
      </w:r>
      <w:r>
        <w:rPr>
          <w:rFonts w:hint="default" w:ascii="黑体" w:hAnsi="黑体" w:eastAsia="黑体" w:cs="黑体"/>
          <w:color w:val="auto"/>
          <w:kern w:val="2"/>
          <w:sz w:val="34"/>
          <w:szCs w:val="34"/>
          <w:highlight w:val="none"/>
          <w:lang w:val="en-US" w:eastAsia="zh-CN" w:bidi="ar-SA"/>
        </w:rPr>
        <w:t>一是</w:t>
      </w:r>
      <w:r>
        <w:rPr>
          <w:rFonts w:hint="default" w:ascii="Times New Roman" w:hAnsi="Times New Roman" w:eastAsia="方正仿宋简体" w:cs="Times New Roman"/>
          <w:color w:val="auto"/>
          <w:kern w:val="2"/>
          <w:sz w:val="34"/>
          <w:szCs w:val="34"/>
          <w:highlight w:val="none"/>
          <w:lang w:val="en-US" w:eastAsia="zh-CN" w:bidi="ar-SA"/>
        </w:rPr>
        <w:t>对空缺中层干部进行配备，提拔6人担任中层副职。</w:t>
      </w:r>
      <w:r>
        <w:rPr>
          <w:rFonts w:hint="default" w:ascii="黑体" w:hAnsi="黑体" w:eastAsia="黑体" w:cs="黑体"/>
          <w:color w:val="auto"/>
          <w:kern w:val="2"/>
          <w:sz w:val="34"/>
          <w:szCs w:val="34"/>
          <w:highlight w:val="none"/>
          <w:lang w:val="en-US" w:eastAsia="zh-CN" w:bidi="ar-SA"/>
        </w:rPr>
        <w:t>二是</w:t>
      </w:r>
      <w:r>
        <w:rPr>
          <w:rFonts w:hint="default" w:ascii="Times New Roman" w:hAnsi="Times New Roman" w:eastAsia="方正仿宋简体" w:cs="Times New Roman"/>
          <w:color w:val="auto"/>
          <w:kern w:val="2"/>
          <w:sz w:val="34"/>
          <w:szCs w:val="34"/>
          <w:highlight w:val="none"/>
          <w:lang w:val="en-US" w:eastAsia="zh-CN" w:bidi="ar-SA"/>
        </w:rPr>
        <w:t>完善《2025年公务员平时考核工作方案》，重新制定《东港市人民检察院考勤工作管理制度》。</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（六）落实巡察反馈意见整改不到位</w:t>
      </w:r>
    </w:p>
    <w:p>
      <w:pPr>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黑体" w:hAnsi="黑体" w:eastAsia="黑体" w:cs="黑体"/>
          <w:color w:val="auto"/>
          <w:kern w:val="2"/>
          <w:sz w:val="34"/>
          <w:szCs w:val="34"/>
          <w:highlight w:val="none"/>
          <w:lang w:val="en-US" w:eastAsia="zh-CN" w:bidi="ar-SA"/>
        </w:rPr>
        <w:t>一是</w:t>
      </w:r>
      <w:r>
        <w:rPr>
          <w:rFonts w:hint="default" w:ascii="Times New Roman" w:hAnsi="Times New Roman" w:eastAsia="方正仿宋简体" w:cs="Times New Roman"/>
          <w:color w:val="auto"/>
          <w:kern w:val="2"/>
          <w:sz w:val="34"/>
          <w:szCs w:val="34"/>
          <w:highlight w:val="none"/>
          <w:lang w:val="en-US" w:eastAsia="zh-CN" w:bidi="ar-SA"/>
        </w:rPr>
        <w:t>加强涉海领域公益诉讼案件办理力度，围绕入海河流总氮治理问题，展开全流域调查核实，针对入海河流附近污染严重的点位进行立案，共立案5件，现已完成整改；加大对港口污染相关案件的办理，目前正在办理涉及港口船舶维修扬尘污染案件。</w:t>
      </w:r>
      <w:r>
        <w:rPr>
          <w:rFonts w:hint="default" w:ascii="黑体" w:hAnsi="黑体" w:eastAsia="黑体" w:cs="黑体"/>
          <w:color w:val="auto"/>
          <w:kern w:val="2"/>
          <w:sz w:val="34"/>
          <w:szCs w:val="34"/>
          <w:highlight w:val="none"/>
          <w:lang w:val="en-US" w:eastAsia="zh-CN" w:bidi="ar-SA"/>
        </w:rPr>
        <w:t>二是</w:t>
      </w:r>
      <w:r>
        <w:rPr>
          <w:rFonts w:hint="default" w:ascii="Times New Roman" w:hAnsi="Times New Roman" w:eastAsia="方正仿宋简体" w:cs="Times New Roman"/>
          <w:color w:val="auto"/>
          <w:kern w:val="2"/>
          <w:sz w:val="34"/>
          <w:szCs w:val="34"/>
          <w:highlight w:val="none"/>
          <w:lang w:val="en-US" w:eastAsia="zh-CN" w:bidi="ar-SA"/>
        </w:rPr>
        <w:t>2025年开展党务干部业务能力培训1次，对“三会一课”、主题党日开展情况进行检查2次。</w:t>
      </w:r>
    </w:p>
    <w:p>
      <w:pPr>
        <w:pStyle w:val="3"/>
        <w:widowControl w:val="0"/>
        <w:numPr>
          <w:numId w:val="0"/>
        </w:numPr>
        <w:wordWrap/>
        <w:adjustRightInd w:val="0"/>
        <w:snapToGrid w:val="0"/>
        <w:spacing w:before="0" w:after="0" w:line="579" w:lineRule="exact"/>
        <w:ind w:left="0" w:leftChars="0" w:right="0" w:firstLine="640" w:firstLineChars="200"/>
        <w:textAlignment w:val="auto"/>
        <w:outlineLvl w:val="9"/>
        <w:rPr>
          <w:rFonts w:hint="default" w:ascii="黑体" w:hAnsi="黑体" w:eastAsia="黑体" w:cs="黑体"/>
          <w:color w:val="auto"/>
          <w:kern w:val="2"/>
          <w:sz w:val="34"/>
          <w:szCs w:val="34"/>
          <w:highlight w:val="none"/>
          <w:lang w:val="en-US" w:eastAsia="zh-CN" w:bidi="ar-SA"/>
        </w:rPr>
      </w:pPr>
      <w:r>
        <w:rPr>
          <w:rFonts w:hint="eastAsia" w:ascii="黑体" w:hAnsi="黑体" w:eastAsia="黑体" w:cs="黑体"/>
          <w:color w:val="auto"/>
          <w:kern w:val="2"/>
          <w:sz w:val="34"/>
          <w:szCs w:val="34"/>
          <w:highlight w:val="none"/>
          <w:lang w:val="en-US" w:eastAsia="zh-CN" w:bidi="ar-SA"/>
        </w:rPr>
        <w:t>三</w:t>
      </w:r>
      <w:r>
        <w:rPr>
          <w:rFonts w:hint="default" w:ascii="黑体" w:hAnsi="黑体" w:eastAsia="黑体" w:cs="黑体"/>
          <w:color w:val="auto"/>
          <w:kern w:val="2"/>
          <w:sz w:val="34"/>
          <w:szCs w:val="34"/>
          <w:highlight w:val="none"/>
          <w:lang w:val="en-US" w:eastAsia="zh-CN" w:bidi="ar-SA"/>
        </w:rPr>
        <w:t>、下一步工作打算及计划</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（一）持续深化理论武装，筑牢政治忠诚根基</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坚持把学习贯彻习近平新时代中国特色社会主义思想作为首要政治任务，特别是深入学习习近平法治思想和关于检察工作的重要指示精神，通过党组理论学习中心组学习、专题研讨、“三会一课”等形式，引导全体干警不断提高政治判断力、政治领悟力、政治执行力。​</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（二）健全完善长效机制，扎紧制度笼子</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对巡察整改过程中形成的各项制度进行系统梳理，结合检察工作实际，进一步修订完善办案流程、内部管理、队伍建设等方面的规章制度，形成科学完备、务实管用的制度体系，从源头上防范问题反弹回潮。建立动态监测机制，及时发现解决新问题。</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（三）聚焦法律监督主责主业，提升办案质效</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紧盯“四大检察”“十大业务”，加强对刑事、民事、行政、公益诉讼案件的法律监督，确保每一起案件都经得起法律和历史的检验。健全与公安、法院、司法行政等部门的沟通协调机制，定期召开联席会议，通报监督情况，解决突出问题，共同维护司法公正和法治权威。</w:t>
      </w:r>
    </w:p>
    <w:p>
      <w:pPr>
        <w:widowControl w:val="0"/>
        <w:wordWrap/>
        <w:adjustRightInd w:val="0"/>
        <w:snapToGrid w:val="0"/>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color w:val="000000"/>
          <w:kern w:val="2"/>
          <w:sz w:val="34"/>
          <w:szCs w:val="34"/>
          <w:lang w:val="en-US" w:eastAsia="zh-CN" w:bidi="ar-SA"/>
        </w:rPr>
      </w:pPr>
      <w:r>
        <w:rPr>
          <w:rFonts w:hint="default" w:ascii="方正楷体简体" w:hAnsi="方正楷体简体" w:eastAsia="方正楷体简体" w:cs="方正楷体简体"/>
          <w:color w:val="000000"/>
          <w:kern w:val="2"/>
          <w:sz w:val="34"/>
          <w:szCs w:val="34"/>
          <w:lang w:val="en-US" w:eastAsia="zh-CN" w:bidi="ar-SA"/>
        </w:rPr>
        <w:t>（四）加强业务能力建设，锻造专业化检察队伍</w:t>
      </w:r>
    </w:p>
    <w:p>
      <w:pPr>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制定常态化业务培训计划，针对新型犯罪、复杂案件等开展专题培训和实战演练，鼓励干警参加学历提升、职业资格考试，不断提升专业素养和履职能力。严格执行中央八项规定及其实施细则精神，坚决整治形式主义、官僚主义，对违纪违法问题 “零容忍”，坚决清除害群之马，打造一支忠诚干净担当的基层检察队伍。​</w:t>
      </w:r>
    </w:p>
    <w:p>
      <w:pPr>
        <w:pStyle w:val="2"/>
        <w:widowControl w:val="0"/>
        <w:wordWrap/>
        <w:adjustRightInd w:val="0"/>
        <w:snapToGrid w:val="0"/>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欢迎广大干部群众对巡察整改落实情况进行监督。如有意见建议，请及时向我们反映。公开期限：202</w:t>
      </w:r>
      <w:r>
        <w:rPr>
          <w:rFonts w:hint="eastAsia" w:ascii="Times New Roman" w:hAnsi="Times New Roman" w:eastAsia="方正仿宋简体" w:cs="Times New Roman"/>
          <w:color w:val="auto"/>
          <w:kern w:val="2"/>
          <w:sz w:val="34"/>
          <w:szCs w:val="34"/>
          <w:highlight w:val="none"/>
          <w:lang w:val="en-US" w:eastAsia="zh-CN" w:bidi="ar-SA"/>
        </w:rPr>
        <w:t>5</w:t>
      </w:r>
      <w:r>
        <w:rPr>
          <w:rFonts w:hint="default" w:ascii="Times New Roman" w:hAnsi="Times New Roman" w:eastAsia="方正仿宋简体" w:cs="Times New Roman"/>
          <w:color w:val="auto"/>
          <w:kern w:val="2"/>
          <w:sz w:val="34"/>
          <w:szCs w:val="34"/>
          <w:highlight w:val="none"/>
          <w:lang w:val="en-US" w:eastAsia="zh-CN" w:bidi="ar-SA"/>
        </w:rPr>
        <w:t>年</w:t>
      </w:r>
      <w:r>
        <w:rPr>
          <w:rFonts w:hint="eastAsia" w:ascii="Times New Roman" w:hAnsi="Times New Roman" w:eastAsia="方正仿宋简体" w:cs="Times New Roman"/>
          <w:color w:val="auto"/>
          <w:kern w:val="2"/>
          <w:sz w:val="34"/>
          <w:szCs w:val="34"/>
          <w:highlight w:val="none"/>
          <w:lang w:val="en-US" w:eastAsia="zh-CN" w:bidi="ar-SA"/>
        </w:rPr>
        <w:t>12</w:t>
      </w:r>
      <w:r>
        <w:rPr>
          <w:rFonts w:hint="default" w:ascii="Times New Roman" w:hAnsi="Times New Roman" w:eastAsia="方正仿宋简体" w:cs="Times New Roman"/>
          <w:color w:val="auto"/>
          <w:kern w:val="2"/>
          <w:sz w:val="34"/>
          <w:szCs w:val="34"/>
          <w:highlight w:val="none"/>
          <w:lang w:val="en-US" w:eastAsia="zh-CN" w:bidi="ar-SA"/>
        </w:rPr>
        <w:t>月</w:t>
      </w:r>
      <w:r>
        <w:rPr>
          <w:rFonts w:hint="eastAsia" w:ascii="Times New Roman" w:hAnsi="Times New Roman" w:eastAsia="方正仿宋简体" w:cs="Times New Roman"/>
          <w:color w:val="auto"/>
          <w:kern w:val="2"/>
          <w:sz w:val="34"/>
          <w:szCs w:val="34"/>
          <w:highlight w:val="none"/>
          <w:lang w:val="en-US" w:eastAsia="zh-CN" w:bidi="ar-SA"/>
        </w:rPr>
        <w:t>1</w:t>
      </w:r>
      <w:r>
        <w:rPr>
          <w:rFonts w:hint="default" w:ascii="Times New Roman" w:hAnsi="Times New Roman" w:eastAsia="方正仿宋简体" w:cs="Times New Roman"/>
          <w:color w:val="auto"/>
          <w:kern w:val="2"/>
          <w:sz w:val="34"/>
          <w:szCs w:val="34"/>
          <w:highlight w:val="none"/>
          <w:lang w:val="en-US" w:eastAsia="zh-CN" w:bidi="ar-SA"/>
        </w:rPr>
        <w:t>日至</w:t>
      </w:r>
      <w:r>
        <w:rPr>
          <w:rFonts w:hint="eastAsia" w:ascii="Times New Roman" w:hAnsi="Times New Roman" w:eastAsia="方正仿宋简体" w:cs="Times New Roman"/>
          <w:color w:val="auto"/>
          <w:kern w:val="2"/>
          <w:sz w:val="34"/>
          <w:szCs w:val="34"/>
          <w:highlight w:val="none"/>
          <w:lang w:val="en-US" w:eastAsia="zh-CN" w:bidi="ar-SA"/>
        </w:rPr>
        <w:t>12</w:t>
      </w:r>
      <w:r>
        <w:rPr>
          <w:rFonts w:hint="default" w:ascii="Times New Roman" w:hAnsi="Times New Roman" w:eastAsia="方正仿宋简体" w:cs="Times New Roman"/>
          <w:color w:val="auto"/>
          <w:kern w:val="2"/>
          <w:sz w:val="34"/>
          <w:szCs w:val="34"/>
          <w:highlight w:val="none"/>
          <w:lang w:val="en-US" w:eastAsia="zh-CN" w:bidi="ar-SA"/>
        </w:rPr>
        <w:t>月</w:t>
      </w:r>
      <w:r>
        <w:rPr>
          <w:rFonts w:hint="eastAsia" w:ascii="Times New Roman" w:hAnsi="Times New Roman" w:eastAsia="方正仿宋简体" w:cs="Times New Roman"/>
          <w:color w:val="auto"/>
          <w:kern w:val="2"/>
          <w:sz w:val="34"/>
          <w:szCs w:val="34"/>
          <w:highlight w:val="none"/>
          <w:lang w:val="en-US" w:eastAsia="zh-CN" w:bidi="ar-SA"/>
        </w:rPr>
        <w:t>19</w:t>
      </w:r>
      <w:r>
        <w:rPr>
          <w:rFonts w:hint="default" w:ascii="Times New Roman" w:hAnsi="Times New Roman" w:eastAsia="方正仿宋简体" w:cs="Times New Roman"/>
          <w:color w:val="auto"/>
          <w:kern w:val="2"/>
          <w:sz w:val="34"/>
          <w:szCs w:val="34"/>
          <w:highlight w:val="none"/>
          <w:lang w:val="en-US" w:eastAsia="zh-CN" w:bidi="ar-SA"/>
        </w:rPr>
        <w:t>日。联系电话：12309（工作日9:00--17:00）；邮政信箱：东港市东港南路163号。</w:t>
      </w:r>
    </w:p>
    <w:p>
      <w:pPr>
        <w:widowControl w:val="0"/>
        <w:wordWrap/>
        <w:adjustRightInd w:val="0"/>
        <w:snapToGrid w:val="0"/>
        <w:spacing w:before="0" w:after="0" w:line="579" w:lineRule="exact"/>
        <w:ind w:left="0" w:leftChars="0" w:right="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p>
    <w:p>
      <w:pPr>
        <w:pStyle w:val="2"/>
        <w:widowControl w:val="0"/>
        <w:wordWrap/>
        <w:adjustRightInd w:val="0"/>
        <w:snapToGrid w:val="0"/>
        <w:spacing w:before="0" w:after="0" w:line="579" w:lineRule="exact"/>
        <w:ind w:left="0" w:leftChars="0" w:right="0" w:firstLine="0" w:firstLineChars="0"/>
        <w:jc w:val="center"/>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eastAsia" w:ascii="Times New Roman" w:hAnsi="Times New Roman" w:eastAsia="方正仿宋简体" w:cs="Times New Roman"/>
          <w:color w:val="auto"/>
          <w:kern w:val="2"/>
          <w:sz w:val="34"/>
          <w:szCs w:val="34"/>
          <w:highlight w:val="none"/>
          <w:lang w:val="en-US" w:eastAsia="zh-CN" w:bidi="ar-SA"/>
        </w:rPr>
        <w:t xml:space="preserve">                       </w:t>
      </w:r>
      <w:r>
        <w:rPr>
          <w:rFonts w:hint="default" w:ascii="Times New Roman" w:hAnsi="Times New Roman" w:eastAsia="方正仿宋简体" w:cs="Times New Roman"/>
          <w:color w:val="auto"/>
          <w:kern w:val="2"/>
          <w:sz w:val="34"/>
          <w:szCs w:val="34"/>
          <w:highlight w:val="none"/>
          <w:lang w:val="en-US" w:eastAsia="zh-CN" w:bidi="ar-SA"/>
        </w:rPr>
        <w:t>中共东港市人民检察院党组</w:t>
      </w:r>
    </w:p>
    <w:p>
      <w:pPr>
        <w:widowControl w:val="0"/>
        <w:wordWrap/>
        <w:adjustRightInd w:val="0"/>
        <w:snapToGrid w:val="0"/>
        <w:spacing w:before="0" w:after="0" w:line="579" w:lineRule="exact"/>
        <w:ind w:left="0" w:leftChars="0" w:right="0"/>
        <w:jc w:val="center"/>
        <w:textAlignment w:val="auto"/>
        <w:outlineLvl w:val="9"/>
        <w:rPr>
          <w:rFonts w:hint="default" w:ascii="Times New Roman" w:hAnsi="Times New Roman" w:eastAsia="方正仿宋简体" w:cs="Times New Roman"/>
          <w:sz w:val="34"/>
          <w:szCs w:val="34"/>
          <w:lang w:val="en-US" w:eastAsia="zh-CN"/>
        </w:rPr>
      </w:pPr>
      <w:r>
        <w:rPr>
          <w:rFonts w:hint="eastAsia" w:ascii="Times New Roman" w:hAnsi="Times New Roman" w:eastAsia="方正仿宋简体" w:cs="Times New Roman"/>
          <w:color w:val="auto"/>
          <w:kern w:val="2"/>
          <w:sz w:val="34"/>
          <w:szCs w:val="34"/>
          <w:highlight w:val="none"/>
          <w:lang w:val="en-US" w:eastAsia="zh-CN" w:bidi="ar-SA"/>
        </w:rPr>
        <w:t xml:space="preserve">                           </w:t>
      </w:r>
      <w:r>
        <w:rPr>
          <w:rFonts w:hint="default" w:ascii="Times New Roman" w:hAnsi="Times New Roman" w:eastAsia="方正仿宋简体" w:cs="Times New Roman"/>
          <w:color w:val="auto"/>
          <w:kern w:val="2"/>
          <w:sz w:val="34"/>
          <w:szCs w:val="34"/>
          <w:highlight w:val="none"/>
          <w:lang w:val="en-US" w:eastAsia="zh-CN" w:bidi="ar-SA"/>
        </w:rPr>
        <w:t>2025年</w:t>
      </w:r>
      <w:r>
        <w:rPr>
          <w:rFonts w:hint="eastAsia" w:ascii="Times New Roman" w:hAnsi="Times New Roman" w:eastAsia="方正仿宋简体" w:cs="Times New Roman"/>
          <w:color w:val="auto"/>
          <w:kern w:val="2"/>
          <w:sz w:val="34"/>
          <w:szCs w:val="34"/>
          <w:highlight w:val="none"/>
          <w:lang w:val="en-US" w:eastAsia="zh-CN" w:bidi="ar-SA"/>
        </w:rPr>
        <w:t>12</w:t>
      </w:r>
      <w:r>
        <w:rPr>
          <w:rFonts w:hint="default" w:ascii="Times New Roman" w:hAnsi="Times New Roman" w:eastAsia="方正仿宋简体" w:cs="Times New Roman"/>
          <w:color w:val="auto"/>
          <w:kern w:val="2"/>
          <w:sz w:val="34"/>
          <w:szCs w:val="34"/>
          <w:highlight w:val="none"/>
          <w:lang w:val="en-US" w:eastAsia="zh-CN" w:bidi="ar-SA"/>
        </w:rPr>
        <w:t>月</w:t>
      </w:r>
      <w:r>
        <w:rPr>
          <w:rFonts w:hint="eastAsia" w:ascii="Times New Roman" w:hAnsi="Times New Roman" w:eastAsia="方正仿宋简体" w:cs="Times New Roman"/>
          <w:color w:val="auto"/>
          <w:kern w:val="2"/>
          <w:sz w:val="34"/>
          <w:szCs w:val="34"/>
          <w:highlight w:val="none"/>
          <w:lang w:val="en-US" w:eastAsia="zh-CN" w:bidi="ar-SA"/>
        </w:rPr>
        <w:t>1</w:t>
      </w:r>
      <w:r>
        <w:rPr>
          <w:rFonts w:hint="default" w:ascii="Times New Roman" w:hAnsi="Times New Roman" w:eastAsia="方正仿宋简体" w:cs="Times New Roman"/>
          <w:color w:val="auto"/>
          <w:kern w:val="2"/>
          <w:sz w:val="34"/>
          <w:szCs w:val="34"/>
          <w:highlight w:val="none"/>
          <w:lang w:val="en-US" w:eastAsia="zh-CN" w:bidi="ar-SA"/>
        </w:rPr>
        <w:t>日</w:t>
      </w:r>
    </w:p>
    <w:p>
      <w:pPr>
        <w:pStyle w:val="2"/>
        <w:widowControl w:val="0"/>
        <w:wordWrap/>
        <w:adjustRightInd w:val="0"/>
        <w:snapToGrid w:val="0"/>
        <w:spacing w:before="0" w:after="0" w:line="579"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黑体"/>
      <w:kern w:val="2"/>
      <w:sz w:val="21"/>
      <w:szCs w:val="24"/>
      <w:lang w:val="en-US" w:eastAsia="zh-CN" w:bidi="ar-SA"/>
    </w:rPr>
  </w:style>
  <w:style w:type="character" w:default="1" w:styleId="6">
    <w:name w:val="Default Paragraph Font"/>
  </w:style>
  <w:style w:type="paragraph" w:customStyle="1" w:styleId="2">
    <w:name w:val="table of authorities"/>
    <w:basedOn w:val="1"/>
    <w:next w:val="1"/>
    <w:pPr>
      <w:ind w:left="420" w:leftChars="200"/>
    </w:pPr>
  </w:style>
  <w:style w:type="paragraph" w:styleId="3">
    <w:name w:val="Body Text"/>
    <w:basedOn w:val="1"/>
    <w:next w:val="1"/>
    <w:pPr>
      <w:spacing w:after="140" w:line="288" w:lineRule="auto"/>
    </w:pPr>
  </w:style>
  <w:style w:type="paragraph" w:styleId="4">
    <w:name w:val="footer"/>
    <w:basedOn w:val="1"/>
    <w:pPr>
      <w:tabs>
        <w:tab w:val="center" w:pos="4153"/>
        <w:tab w:val="right" w:pos="8306"/>
      </w:tabs>
      <w:snapToGrid w:val="0"/>
      <w:jc w:val="left"/>
    </w:pPr>
    <w:rPr>
      <w:sz w:val="18"/>
    </w:rPr>
  </w:style>
  <w:style w:type="paragraph" w:styleId="5">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2025-10-24T09:40:00Z</dcterms:created>
  <dc:creator>Administrator</dc:creator>
  <cp:lastPrinted>2025-11-11T16:53:00Z</cp:lastPrinted>
  <dcterms:modified xsi:type="dcterms:W3CDTF">2025-12-05T15:14:57Z</dcterms:modified>
  <dc:title>王婷婷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EFB89C3FE1214036AF708EBC1C71C18B</vt:lpwstr>
  </property>
</Properties>
</file>