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79" w:lineRule="exact"/>
        <w:ind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中共丹东市交通集团党委关于市委巡察</w:t>
      </w:r>
    </w:p>
    <w:p>
      <w:pPr>
        <w:widowControl w:val="0"/>
        <w:wordWrap/>
        <w:adjustRightInd/>
        <w:snapToGrid/>
        <w:spacing w:before="0" w:after="0" w:line="579" w:lineRule="exact"/>
        <w:ind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整改</w:t>
      </w:r>
      <w:bookmarkStart w:id="0" w:name="_GoBack"/>
      <w:bookmarkEnd w:id="0"/>
      <w:r>
        <w:rPr>
          <w:rFonts w:hint="eastAsia" w:ascii="方正小标宋简体" w:hAnsi="方正小标宋简体" w:eastAsia="方正小标宋简体" w:cs="方正小标宋简体"/>
          <w:sz w:val="44"/>
          <w:szCs w:val="44"/>
        </w:rPr>
        <w:t>落实进展情况的通报</w:t>
      </w:r>
    </w:p>
    <w:p>
      <w:pPr>
        <w:widowControl w:val="0"/>
        <w:wordWrap/>
        <w:adjustRightInd/>
        <w:snapToGrid/>
        <w:spacing w:before="0" w:after="0" w:line="579" w:lineRule="exact"/>
        <w:ind w:right="0" w:firstLine="640" w:firstLineChars="200"/>
        <w:textAlignment w:val="auto"/>
        <w:outlineLvl w:val="9"/>
        <w:rPr>
          <w:rFonts w:hint="default" w:ascii="Times New Roman" w:hAnsi="Times New Roman" w:eastAsia="方正仿宋简体" w:cs="Times New Roman"/>
          <w:sz w:val="34"/>
          <w:szCs w:val="34"/>
        </w:rPr>
      </w:pPr>
    </w:p>
    <w:p>
      <w:pPr>
        <w:widowControl w:val="0"/>
        <w:wordWrap/>
        <w:adjustRightInd/>
        <w:snapToGrid/>
        <w:spacing w:before="0" w:after="0" w:line="579" w:lineRule="exact"/>
        <w:ind w:right="0" w:firstLine="640"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根据市委和市委巡察工作领导小组统一部署，2024年9月30日至12月30日，市委第五巡察组对市交通集团党委进行了巡察。2025年2月19日，市委巡察组向市交通集团党委反馈了巡察意见。按照《中国共产党巡视工作条例》有关要求，现将巡察整改情况予以公布。</w:t>
      </w:r>
    </w:p>
    <w:p>
      <w:pPr>
        <w:pStyle w:val="9"/>
        <w:widowControl w:val="0"/>
        <w:numPr>
          <w:ilvl w:val="0"/>
          <w:numId w:val="1"/>
        </w:numPr>
        <w:wordWrap/>
        <w:adjustRightInd/>
        <w:snapToGrid/>
        <w:spacing w:before="0" w:after="0" w:line="579" w:lineRule="exact"/>
        <w:ind w:right="0" w:firstLineChars="0"/>
        <w:textAlignment w:val="auto"/>
        <w:outlineLvl w:val="9"/>
        <w:rPr>
          <w:rFonts w:hint="eastAsia" w:ascii="黑体" w:hAnsi="黑体" w:eastAsia="黑体" w:cs="黑体"/>
          <w:sz w:val="34"/>
          <w:szCs w:val="34"/>
        </w:rPr>
      </w:pPr>
      <w:r>
        <w:rPr>
          <w:rFonts w:hint="eastAsia" w:ascii="黑体" w:hAnsi="黑体" w:eastAsia="黑体" w:cs="黑体"/>
          <w:sz w:val="34"/>
          <w:szCs w:val="34"/>
        </w:rPr>
        <w:t>领导班子履行主体责任情况</w:t>
      </w:r>
    </w:p>
    <w:p>
      <w:pPr>
        <w:widowControl w:val="0"/>
        <w:wordWrap/>
        <w:adjustRightInd/>
        <w:snapToGrid/>
        <w:spacing w:before="0" w:after="0" w:line="579" w:lineRule="exact"/>
        <w:ind w:right="0" w:firstLine="627" w:firstLineChars="196"/>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市交通集团党委深入贯彻党中央决策部署和习近平总书记关于巡视工作的重要论述，认真对照巡察反馈意见，高标准高质量推进巡察整改。</w:t>
      </w:r>
    </w:p>
    <w:p>
      <w:pPr>
        <w:widowControl w:val="0"/>
        <w:wordWrap/>
        <w:adjustRightInd/>
        <w:snapToGrid/>
        <w:spacing w:before="0" w:after="0" w:line="579" w:lineRule="exact"/>
        <w:ind w:right="0" w:firstLine="630" w:firstLineChars="196"/>
        <w:textAlignment w:val="auto"/>
        <w:outlineLvl w:val="9"/>
        <w:rPr>
          <w:rFonts w:hint="default" w:ascii="Times New Roman" w:hAnsi="Times New Roman" w:eastAsia="方正仿宋简体" w:cs="Times New Roman"/>
          <w:sz w:val="34"/>
          <w:szCs w:val="34"/>
        </w:rPr>
      </w:pP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b/>
          <w:sz w:val="34"/>
          <w:szCs w:val="34"/>
        </w:rPr>
        <w:t>高度重视，完善加强整改领导。</w:t>
      </w:r>
      <w:r>
        <w:rPr>
          <w:rFonts w:hint="default" w:ascii="Times New Roman" w:hAnsi="Times New Roman" w:eastAsia="方正仿宋简体" w:cs="Times New Roman"/>
          <w:sz w:val="34"/>
          <w:szCs w:val="34"/>
        </w:rPr>
        <w:t>巡察反馈会议结束后，集团党委迅速召开专题会议，成立由党委书记挂帅的集团巡察整改工作领导小组，构建 “一把手”负总责、班子成员分工负责、各部门协同落实的整改责任体系。组织召开专题民主生活会，统一从严从实提高巡察整改的思想认识。</w:t>
      </w:r>
    </w:p>
    <w:p>
      <w:pPr>
        <w:widowControl w:val="0"/>
        <w:wordWrap/>
        <w:adjustRightInd/>
        <w:snapToGrid/>
        <w:spacing w:before="0" w:after="0" w:line="579" w:lineRule="exact"/>
        <w:ind w:right="0" w:firstLine="630" w:firstLineChars="196"/>
        <w:textAlignment w:val="auto"/>
        <w:outlineLvl w:val="9"/>
        <w:rPr>
          <w:rFonts w:hint="default" w:ascii="Times New Roman" w:hAnsi="Times New Roman" w:eastAsia="方正仿宋简体" w:cs="Times New Roman"/>
          <w:b/>
          <w:sz w:val="34"/>
          <w:szCs w:val="34"/>
        </w:rPr>
      </w:pP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b/>
          <w:sz w:val="34"/>
          <w:szCs w:val="34"/>
        </w:rPr>
        <w:t>聚焦问题，扎实推进整改落实。</w:t>
      </w:r>
      <w:r>
        <w:rPr>
          <w:rFonts w:hint="default" w:ascii="Times New Roman" w:hAnsi="Times New Roman" w:eastAsia="方正仿宋简体" w:cs="Times New Roman"/>
          <w:sz w:val="34"/>
          <w:szCs w:val="34"/>
        </w:rPr>
        <w:t>党委班子逐一梳理巡察反馈问题，将25个具体问题细化为56个具体表现，研究制定整改方案和“三清单”，制定整改措施126条，明确责任领导、责任部门、责任人和完成时限;针对市委书记专题会议要求，围绕重点任务推进滞后等问题，聚焦三年行动任务中的短板弱项，党委书记亲自挂帅，研究制定专项工作整改方案，将1个方面重点问题细化为16个具体表现，确保整改工作有序推进。</w:t>
      </w:r>
    </w:p>
    <w:p>
      <w:pPr>
        <w:widowControl w:val="0"/>
        <w:wordWrap/>
        <w:adjustRightInd/>
        <w:snapToGrid/>
        <w:spacing w:before="0" w:after="0" w:line="579" w:lineRule="exact"/>
        <w:ind w:right="0" w:firstLine="630" w:firstLineChars="196"/>
        <w:jc w:val="left"/>
        <w:textAlignment w:val="auto"/>
        <w:outlineLvl w:val="9"/>
        <w:rPr>
          <w:rFonts w:hint="default" w:ascii="Times New Roman" w:hAnsi="Times New Roman" w:eastAsia="方正仿宋简体" w:cs="Times New Roman"/>
          <w:sz w:val="34"/>
          <w:szCs w:val="34"/>
        </w:rPr>
      </w:pP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b/>
          <w:sz w:val="34"/>
          <w:szCs w:val="34"/>
        </w:rPr>
        <w:t>从严从细，推动巡察整改走深走实。</w:t>
      </w:r>
      <w:r>
        <w:rPr>
          <w:rFonts w:hint="default" w:ascii="Times New Roman" w:hAnsi="Times New Roman" w:eastAsia="方正仿宋简体" w:cs="Times New Roman"/>
          <w:sz w:val="34"/>
          <w:szCs w:val="34"/>
        </w:rPr>
        <w:t>集团党委坚持分类施策，立行立改即知即改问题；对长期整改问题结合实际分阶段推进。及时召开巡察整改推进会议,加快整改进度。</w:t>
      </w:r>
    </w:p>
    <w:p>
      <w:pPr>
        <w:widowControl w:val="0"/>
        <w:wordWrap/>
        <w:adjustRightInd/>
        <w:snapToGrid/>
        <w:spacing w:before="0" w:after="0" w:line="579" w:lineRule="exact"/>
        <w:ind w:right="0" w:firstLine="630" w:firstLineChars="196"/>
        <w:textAlignment w:val="auto"/>
        <w:outlineLvl w:val="9"/>
        <w:rPr>
          <w:rFonts w:hint="default" w:ascii="Times New Roman" w:hAnsi="Times New Roman" w:eastAsia="方正仿宋简体" w:cs="Times New Roman"/>
          <w:sz w:val="34"/>
          <w:szCs w:val="34"/>
        </w:rPr>
      </w:pPr>
      <w:r>
        <w:rPr>
          <w:rFonts w:hint="default" w:ascii="黑体" w:hAnsi="黑体" w:eastAsia="黑体" w:cs="黑体"/>
          <w:kern w:val="2"/>
          <w:sz w:val="34"/>
          <w:szCs w:val="34"/>
          <w:lang w:val="en-US" w:eastAsia="zh-CN" w:bidi="ar-SA"/>
        </w:rPr>
        <w:t>四是</w:t>
      </w:r>
      <w:r>
        <w:rPr>
          <w:rFonts w:hint="default" w:ascii="Times New Roman" w:hAnsi="Times New Roman" w:eastAsia="方正仿宋简体" w:cs="Times New Roman"/>
          <w:b/>
          <w:sz w:val="34"/>
          <w:szCs w:val="34"/>
        </w:rPr>
        <w:t>强化制度建设，建章立制促整改。</w:t>
      </w:r>
      <w:r>
        <w:rPr>
          <w:rFonts w:hint="default" w:ascii="Times New Roman" w:hAnsi="Times New Roman" w:eastAsia="方正仿宋简体" w:cs="Times New Roman"/>
          <w:sz w:val="34"/>
          <w:szCs w:val="34"/>
        </w:rPr>
        <w:t>集团党委聚焦制度和机制层面查漏补缺，集中整改期制定完善10项制度规范，推动整改成果转化为治理效能。</w:t>
      </w:r>
    </w:p>
    <w:p>
      <w:pPr>
        <w:widowControl w:val="0"/>
        <w:wordWrap/>
        <w:adjustRightInd/>
        <w:snapToGrid/>
        <w:spacing w:before="0" w:after="0" w:line="579" w:lineRule="exact"/>
        <w:ind w:right="0" w:firstLine="630" w:firstLineChars="196"/>
        <w:textAlignment w:val="auto"/>
        <w:outlineLvl w:val="9"/>
        <w:rPr>
          <w:rFonts w:hint="default" w:ascii="Times New Roman" w:hAnsi="Times New Roman" w:eastAsia="方正仿宋简体" w:cs="Times New Roman"/>
          <w:sz w:val="34"/>
          <w:szCs w:val="34"/>
        </w:rPr>
      </w:pPr>
      <w:r>
        <w:rPr>
          <w:rFonts w:hint="default" w:ascii="黑体" w:hAnsi="黑体" w:eastAsia="黑体" w:cs="黑体"/>
          <w:kern w:val="2"/>
          <w:sz w:val="34"/>
          <w:szCs w:val="34"/>
          <w:lang w:val="en-US" w:eastAsia="zh-CN" w:bidi="ar-SA"/>
        </w:rPr>
        <w:t>五是</w:t>
      </w:r>
      <w:r>
        <w:rPr>
          <w:rFonts w:hint="default" w:ascii="Times New Roman" w:hAnsi="Times New Roman" w:eastAsia="方正仿宋简体" w:cs="Times New Roman"/>
          <w:b/>
          <w:sz w:val="34"/>
          <w:szCs w:val="34"/>
        </w:rPr>
        <w:t>强化监督检查，建立持续改进机制。</w:t>
      </w:r>
      <w:r>
        <w:rPr>
          <w:rFonts w:hint="default" w:ascii="Times New Roman" w:hAnsi="Times New Roman" w:eastAsia="方正仿宋简体" w:cs="Times New Roman"/>
          <w:sz w:val="34"/>
          <w:szCs w:val="34"/>
        </w:rPr>
        <w:t>定期跟踪督办，实行销号管理，整改工作领导小组定期听取整改进展，通过 “巡改谈”座谈会、巡察问题整改调研会，推动解决整改难题。集团纪委全程跟踪整改，做好进展和任务落实情况监督，杜绝“纸面整改”、“虚假整改”，确保整改到位。</w:t>
      </w:r>
    </w:p>
    <w:p>
      <w:pPr>
        <w:pStyle w:val="9"/>
        <w:widowControl w:val="0"/>
        <w:numPr>
          <w:ilvl w:val="0"/>
          <w:numId w:val="1"/>
        </w:numPr>
        <w:wordWrap/>
        <w:adjustRightInd/>
        <w:snapToGrid/>
        <w:spacing w:before="0" w:after="0" w:line="579" w:lineRule="exact"/>
        <w:ind w:right="0" w:firstLineChars="0"/>
        <w:textAlignment w:val="auto"/>
        <w:outlineLvl w:val="9"/>
        <w:rPr>
          <w:rFonts w:hint="default" w:ascii="黑体" w:hAnsi="黑体" w:eastAsia="黑体" w:cs="黑体"/>
          <w:sz w:val="34"/>
          <w:szCs w:val="34"/>
        </w:rPr>
      </w:pPr>
      <w:r>
        <w:rPr>
          <w:rFonts w:hint="default" w:ascii="黑体" w:hAnsi="黑体" w:eastAsia="黑体" w:cs="黑体"/>
          <w:sz w:val="34"/>
          <w:szCs w:val="34"/>
        </w:rPr>
        <w:t>巡察整改落实情况</w:t>
      </w:r>
    </w:p>
    <w:p>
      <w:pPr>
        <w:widowControl w:val="0"/>
        <w:wordWrap/>
        <w:adjustRightInd/>
        <w:snapToGrid/>
        <w:spacing w:before="0" w:after="0" w:line="579" w:lineRule="exact"/>
        <w:ind w:right="0" w:firstLine="640" w:firstLineChars="200"/>
        <w:textAlignment w:val="auto"/>
        <w:outlineLvl w:val="9"/>
        <w:rPr>
          <w:rFonts w:hint="eastAsia" w:ascii="方正楷体简体" w:hAnsi="方正楷体简体" w:eastAsia="方正楷体简体" w:cs="方正楷体简体"/>
          <w:sz w:val="34"/>
          <w:szCs w:val="34"/>
        </w:rPr>
      </w:pPr>
      <w:r>
        <w:rPr>
          <w:rFonts w:hint="eastAsia" w:ascii="方正楷体简体" w:hAnsi="方正楷体简体" w:eastAsia="方正楷体简体" w:cs="方正楷体简体"/>
          <w:sz w:val="34"/>
          <w:szCs w:val="34"/>
        </w:rPr>
        <w:t>（一）坚持和加强党对国有企业的全面领导不够有力，党委 “把方向、管大局、保落实”领导作用发挥不充分</w:t>
      </w:r>
    </w:p>
    <w:p>
      <w:pPr>
        <w:widowControl w:val="0"/>
        <w:wordWrap/>
        <w:adjustRightInd/>
        <w:snapToGrid/>
        <w:spacing w:before="0" w:after="0" w:line="579" w:lineRule="exact"/>
        <w:ind w:right="0" w:firstLine="643" w:firstLineChars="20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1.在深入学习习近平总书记关于国有企业加强党的建设重要讲话精神不到位，指导实际工作有差距方面。</w:t>
      </w:r>
      <w:r>
        <w:rPr>
          <w:rFonts w:hint="default" w:ascii="Times New Roman" w:hAnsi="Times New Roman" w:eastAsia="方正仿宋简体" w:cs="Times New Roman"/>
          <w:sz w:val="34"/>
          <w:szCs w:val="34"/>
        </w:rPr>
        <w:t>集团党委修订《中共丹东市交通运输集团有限责任公司委员会议事决策规则》，规范党委会前置研究事项清单，组织所属子公司学习，确保重大经营事项严格履行党委前置研究程序。</w:t>
      </w:r>
    </w:p>
    <w:p>
      <w:pPr>
        <w:widowControl w:val="0"/>
        <w:wordWrap/>
        <w:adjustRightInd/>
        <w:snapToGrid/>
        <w:spacing w:before="0" w:after="0" w:line="579" w:lineRule="exact"/>
        <w:ind w:right="0" w:firstLine="63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2.在对下属子公司经营管理情况监管不到位方面。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sz w:val="34"/>
          <w:szCs w:val="34"/>
        </w:rPr>
        <w:t>修订采购管理制度，完善</w:t>
      </w:r>
      <w:r>
        <w:rPr>
          <w:rFonts w:hint="default" w:ascii="Times New Roman" w:hAnsi="Times New Roman" w:eastAsia="方正仿宋简体" w:cs="Times New Roman"/>
          <w:bCs/>
          <w:sz w:val="34"/>
          <w:szCs w:val="34"/>
        </w:rPr>
        <w:t>项目招标采购年度计划等内容，加强指导督促;</w:t>
      </w:r>
      <w:r>
        <w:rPr>
          <w:rFonts w:hint="default" w:ascii="Times New Roman" w:hAnsi="Times New Roman" w:eastAsia="方正仿宋简体" w:cs="Times New Roman"/>
          <w:sz w:val="34"/>
          <w:szCs w:val="34"/>
        </w:rPr>
        <w:t>聘请专家开展咨询培训，强化监督执行。</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sz w:val="34"/>
          <w:szCs w:val="34"/>
        </w:rPr>
        <w:t>指导子公司完成年度招聘计划并报市国资委备案。</w:t>
      </w:r>
      <w:r>
        <w:rPr>
          <w:rFonts w:hint="default" w:ascii="Times New Roman" w:hAnsi="Times New Roman" w:eastAsia="方正仿宋简体" w:cs="Times New Roman"/>
          <w:bCs/>
          <w:color w:val="000000"/>
          <w:sz w:val="34"/>
          <w:szCs w:val="34"/>
        </w:rPr>
        <w:t>下发2025年度“一企一策”差异化考核指标，对亏损企业</w:t>
      </w:r>
      <w:r>
        <w:rPr>
          <w:rFonts w:hint="default" w:ascii="Times New Roman" w:hAnsi="Times New Roman" w:eastAsia="方正仿宋简体" w:cs="Times New Roman"/>
          <w:color w:val="000000"/>
          <w:sz w:val="34"/>
          <w:szCs w:val="34"/>
        </w:rPr>
        <w:t>开展内部审计。</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sz w:val="34"/>
          <w:szCs w:val="34"/>
        </w:rPr>
        <w:t>集团纪委已</w:t>
      </w:r>
      <w:r>
        <w:rPr>
          <w:rFonts w:hint="default" w:ascii="Times New Roman" w:hAnsi="Times New Roman" w:eastAsia="方正仿宋简体" w:cs="Times New Roman"/>
          <w:color w:val="000000"/>
          <w:sz w:val="34"/>
          <w:szCs w:val="34"/>
        </w:rPr>
        <w:t>核实2起行政处罚基本情况，对相关责任人开展谈话和批评教育，重新规范业务流程。</w:t>
      </w:r>
    </w:p>
    <w:p>
      <w:pPr>
        <w:widowControl w:val="0"/>
        <w:wordWrap/>
        <w:adjustRightInd/>
        <w:snapToGrid/>
        <w:spacing w:before="0" w:after="0" w:line="579" w:lineRule="exact"/>
        <w:ind w:right="0" w:firstLine="643"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sz w:val="34"/>
          <w:szCs w:val="34"/>
        </w:rPr>
        <w:t>3.在贯彻落实我市全面振兴新突破三年行动不到位方面。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sz w:val="34"/>
          <w:szCs w:val="34"/>
        </w:rPr>
        <w:t>将管理成本下降纳入2025年度考核，以2024年成本支出为基准，实现综合管理成本同比下降2%-5%。</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sz w:val="34"/>
          <w:szCs w:val="34"/>
        </w:rPr>
        <w:t>成立资产划转专项工作组，“一案一策”制定划转方案，开展经营性资产、专属经营权等专项清查工作,全力保障相关资产划转到位。</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bCs/>
          <w:sz w:val="34"/>
          <w:szCs w:val="34"/>
        </w:rPr>
        <w:t>梳理业务板块形成集团“十五五”发展规划</w:t>
      </w:r>
      <w:r>
        <w:rPr>
          <w:rFonts w:hint="default" w:ascii="Times New Roman" w:hAnsi="Times New Roman" w:eastAsia="方正仿宋简体" w:cs="Times New Roman"/>
          <w:sz w:val="34"/>
          <w:szCs w:val="34"/>
        </w:rPr>
        <w:t>，重构央企合作机制。</w:t>
      </w:r>
    </w:p>
    <w:p>
      <w:pPr>
        <w:widowControl w:val="0"/>
        <w:wordWrap/>
        <w:adjustRightInd/>
        <w:snapToGrid/>
        <w:spacing w:before="0" w:after="0" w:line="579" w:lineRule="exact"/>
        <w:ind w:right="0" w:firstLine="643" w:firstLineChars="20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4.在对巡察审计发现问题整改不力方面。</w:t>
      </w:r>
      <w:r>
        <w:rPr>
          <w:rFonts w:hint="default" w:ascii="Times New Roman" w:hAnsi="Times New Roman" w:eastAsia="方正仿宋简体" w:cs="Times New Roman"/>
          <w:bCs/>
          <w:color w:val="000000"/>
          <w:sz w:val="34"/>
          <w:szCs w:val="34"/>
        </w:rPr>
        <w:t>完成反弹回潮和措施贯彻执行不彻底问题摸底排查，列出清单逐条整改，防止问题复发。</w:t>
      </w:r>
    </w:p>
    <w:p>
      <w:pPr>
        <w:widowControl w:val="0"/>
        <w:wordWrap/>
        <w:adjustRightInd/>
        <w:snapToGrid/>
        <w:spacing w:before="0" w:after="0" w:line="579" w:lineRule="exact"/>
        <w:ind w:right="0" w:firstLine="640" w:firstLineChars="20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（二）做强做优做大集团主责主业助力丹东振兴发展有差距，谋划集团高质量发展后劲不足</w:t>
      </w:r>
    </w:p>
    <w:p>
      <w:pPr>
        <w:widowControl w:val="0"/>
        <w:wordWrap/>
        <w:adjustRightInd/>
        <w:snapToGrid/>
        <w:spacing w:before="0" w:after="0" w:line="579" w:lineRule="exact"/>
        <w:ind w:right="0" w:firstLine="66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sz w:val="34"/>
          <w:szCs w:val="34"/>
        </w:rPr>
        <w:t>1.在传统项目优势培育不明显方面。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bCs/>
          <w:sz w:val="34"/>
          <w:szCs w:val="34"/>
        </w:rPr>
        <w:t>跟踪公路建设项目信息、更新施工设备、提升施工技术，加强市场调研与产学研合作，联合高校、科研机构，共同开展沥青材料基础研究与应用技术开发，推动合作联盟、资源共享；与地方交通部门、大型建筑企业建立长期战略合作伙伴关系，通过联合体投标、项目专业分包等形式参与道路维修项目，所属公司国有资本收益较往年大幅提高。</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sz w:val="34"/>
          <w:szCs w:val="34"/>
        </w:rPr>
        <w:t>选派人员赴同行业学习，拓宽金盾保安公司服务链条。</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sz w:val="34"/>
          <w:szCs w:val="34"/>
        </w:rPr>
        <w:t>积极拓展公路勘察设计院外部业务，成功中标外市村镇交通基础设施完善工程设计项目。</w:t>
      </w:r>
    </w:p>
    <w:p>
      <w:pPr>
        <w:widowControl w:val="0"/>
        <w:wordWrap/>
        <w:adjustRightInd/>
        <w:snapToGrid/>
        <w:spacing w:before="0" w:after="0" w:line="579" w:lineRule="exact"/>
        <w:ind w:right="0" w:firstLine="643" w:firstLineChars="20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2.在经营性产业缺少新增长点方面。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bCs/>
          <w:sz w:val="34"/>
          <w:szCs w:val="34"/>
        </w:rPr>
        <w:t>2024年集团资产总额同比增长39.4%；营业总收入同比增长11.3%，超额完成市国资委8%的增长指标，资产总额增长率高于全市国企平均水平31.4个百分点。</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bCs/>
          <w:sz w:val="34"/>
          <w:szCs w:val="34"/>
        </w:rPr>
        <w:t>重新梳理业务板块，形成集团“十五五”发展规划，明确道路工程施工、勘察设计、公路客运、水路客运、金融押运五大板块。</w:t>
      </w:r>
    </w:p>
    <w:p>
      <w:pPr>
        <w:widowControl w:val="0"/>
        <w:wordWrap/>
        <w:adjustRightInd/>
        <w:snapToGrid/>
        <w:spacing w:before="0" w:after="0" w:line="579" w:lineRule="exact"/>
        <w:ind w:right="0" w:firstLine="643"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sz w:val="34"/>
          <w:szCs w:val="34"/>
        </w:rPr>
        <w:t>3.在破解企业发展难点问题力度不大方面。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sz w:val="34"/>
          <w:szCs w:val="34"/>
        </w:rPr>
        <w:t>公路客运站通过</w:t>
      </w:r>
      <w:r>
        <w:rPr>
          <w:rFonts w:hint="default" w:ascii="Times New Roman" w:hAnsi="Times New Roman" w:eastAsia="方正仿宋简体" w:cs="Times New Roman"/>
          <w:bCs/>
          <w:color w:val="000000"/>
          <w:sz w:val="34"/>
          <w:szCs w:val="34"/>
        </w:rPr>
        <w:t>附属楼宇、场站停车位招租增加收入；持续推进充电桩项目收入增长；超市与快件业务合并，预计年节约用工成本约3.6万元。</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sz w:val="34"/>
          <w:szCs w:val="34"/>
        </w:rPr>
        <w:t>设计院建立内部考证激励制度，证件补贴纳入工资，积极拓展业务，完成旅游公路市场调研，制作G331零公里起点驿站方案，并纳入站前广场改造方案。</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sz w:val="34"/>
          <w:szCs w:val="34"/>
        </w:rPr>
        <w:t>通达公司集中培训招投标人员，年内多次投标，中标数量稳步提升。</w:t>
      </w:r>
      <w:r>
        <w:rPr>
          <w:rFonts w:hint="default" w:ascii="黑体" w:hAnsi="黑体" w:eastAsia="黑体" w:cs="黑体"/>
          <w:kern w:val="2"/>
          <w:sz w:val="34"/>
          <w:szCs w:val="34"/>
          <w:lang w:val="en-US" w:eastAsia="zh-CN" w:bidi="ar-SA"/>
        </w:rPr>
        <w:t>四是</w:t>
      </w:r>
      <w:r>
        <w:rPr>
          <w:rFonts w:hint="default" w:ascii="Times New Roman" w:hAnsi="Times New Roman" w:eastAsia="方正仿宋简体" w:cs="Times New Roman"/>
          <w:sz w:val="34"/>
          <w:szCs w:val="34"/>
        </w:rPr>
        <w:t>水路客运站通过升级两艘豪华游船、增设2号码头指示牌匾、开通夜游鸭绿江项目，与网络公司合作推出联票产品等方式，推动游客量逐年递增。</w:t>
      </w:r>
    </w:p>
    <w:p>
      <w:pPr>
        <w:widowControl w:val="0"/>
        <w:wordWrap/>
        <w:adjustRightInd/>
        <w:snapToGrid/>
        <w:spacing w:before="0" w:after="0" w:line="579" w:lineRule="exact"/>
        <w:ind w:right="0" w:firstLine="690"/>
        <w:textAlignment w:val="auto"/>
        <w:outlineLvl w:val="9"/>
        <w:rPr>
          <w:rFonts w:hint="default" w:ascii="Times New Roman" w:hAnsi="Times New Roman" w:eastAsia="方正仿宋简体" w:cs="Times New Roman"/>
          <w:b/>
          <w:sz w:val="34"/>
          <w:szCs w:val="34"/>
        </w:rPr>
      </w:pPr>
      <w:r>
        <w:rPr>
          <w:rFonts w:hint="default" w:ascii="Times New Roman" w:hAnsi="Times New Roman" w:eastAsia="方正仿宋简体" w:cs="Times New Roman"/>
          <w:b/>
          <w:sz w:val="34"/>
          <w:szCs w:val="34"/>
        </w:rPr>
        <w:t>4.在深化央企对接不力方面。</w:t>
      </w:r>
      <w:r>
        <w:rPr>
          <w:rFonts w:hint="default" w:ascii="Times New Roman" w:hAnsi="Times New Roman" w:eastAsia="方正仿宋简体" w:cs="Times New Roman"/>
          <w:sz w:val="34"/>
          <w:szCs w:val="34"/>
        </w:rPr>
        <w:t>重构央企合作机制，重点关注基础设施投资领域项目，拓展合作机遇，提高集团收入。</w:t>
      </w:r>
    </w:p>
    <w:p>
      <w:pPr>
        <w:widowControl w:val="0"/>
        <w:wordWrap/>
        <w:adjustRightInd/>
        <w:snapToGrid/>
        <w:spacing w:before="0" w:after="0" w:line="579" w:lineRule="exact"/>
        <w:ind w:right="0" w:firstLine="640" w:firstLineChars="20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（三）推动落实国有企业改革不到位，现代企业管理体制不健全</w:t>
      </w:r>
    </w:p>
    <w:p>
      <w:pPr>
        <w:widowControl w:val="0"/>
        <w:wordWrap/>
        <w:adjustRightInd/>
        <w:snapToGrid/>
        <w:spacing w:before="0" w:after="0" w:line="579" w:lineRule="exact"/>
        <w:ind w:right="0" w:firstLine="643" w:firstLineChars="200"/>
        <w:textAlignment w:val="auto"/>
        <w:outlineLvl w:val="9"/>
        <w:rPr>
          <w:rFonts w:hint="default" w:ascii="Times New Roman" w:hAnsi="Times New Roman" w:eastAsia="方正仿宋简体" w:cs="Times New Roman"/>
          <w:bCs/>
          <w:sz w:val="34"/>
          <w:szCs w:val="34"/>
        </w:rPr>
      </w:pPr>
      <w:r>
        <w:rPr>
          <w:rFonts w:hint="default" w:ascii="Times New Roman" w:hAnsi="Times New Roman" w:eastAsia="方正仿宋简体" w:cs="Times New Roman"/>
          <w:b/>
          <w:sz w:val="34"/>
          <w:szCs w:val="34"/>
        </w:rPr>
        <w:t>1.在中国特色现代企业制度不够完善方面。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bCs/>
          <w:sz w:val="34"/>
          <w:szCs w:val="34"/>
        </w:rPr>
        <w:t>市国资委委派4名外部董事，完善集团法人治理结构，提升董事会决策独立性与专业性。</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bCs/>
          <w:sz w:val="34"/>
          <w:szCs w:val="34"/>
        </w:rPr>
        <w:t>执行《公司章程》及《董事会对经理层授权管理办法》，通过总经理办公会行使授权，建立总经理向董事会负责、报告机制。</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bCs/>
          <w:sz w:val="34"/>
          <w:szCs w:val="34"/>
        </w:rPr>
        <w:t>落实集团《总经理办公会议事规则》，每年度至少召开4次总经理办公会议，研究经营管理重大事项。</w:t>
      </w:r>
      <w:r>
        <w:rPr>
          <w:rFonts w:hint="default" w:ascii="黑体" w:hAnsi="黑体" w:eastAsia="黑体" w:cs="黑体"/>
          <w:kern w:val="2"/>
          <w:sz w:val="34"/>
          <w:szCs w:val="34"/>
          <w:lang w:val="en-US" w:eastAsia="zh-CN" w:bidi="ar-SA"/>
        </w:rPr>
        <w:t>四是</w:t>
      </w:r>
      <w:r>
        <w:rPr>
          <w:rFonts w:hint="default" w:ascii="Times New Roman" w:hAnsi="Times New Roman" w:eastAsia="方正仿宋简体" w:cs="Times New Roman"/>
          <w:bCs/>
          <w:sz w:val="34"/>
          <w:szCs w:val="34"/>
        </w:rPr>
        <w:t>修订《公司章程》，不再设置监事会，职能由董事会审计委员会承担。</w:t>
      </w:r>
    </w:p>
    <w:p>
      <w:pPr>
        <w:widowControl w:val="0"/>
        <w:wordWrap/>
        <w:adjustRightInd/>
        <w:snapToGrid/>
        <w:spacing w:before="0" w:after="0" w:line="579" w:lineRule="exact"/>
        <w:ind w:right="0" w:firstLine="643"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sz w:val="34"/>
          <w:szCs w:val="34"/>
        </w:rPr>
        <w:t>2.在混合所有制改革成效欠佳方面。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bCs/>
          <w:sz w:val="34"/>
          <w:szCs w:val="34"/>
        </w:rPr>
        <w:t>加强子公司经营监控，董事会调研增资扩股项目并设定投资回报率、风险控制等量化指标。</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sz w:val="34"/>
          <w:szCs w:val="34"/>
        </w:rPr>
        <w:t>按新《公司法》完成文旅公司减资及注销。</w:t>
      </w:r>
      <w:r>
        <w:rPr>
          <w:rFonts w:hint="default" w:ascii="Times New Roman" w:hAnsi="Times New Roman" w:eastAsia="方正仿宋简体" w:cs="Times New Roman"/>
          <w:bCs/>
          <w:sz w:val="34"/>
          <w:szCs w:val="34"/>
        </w:rPr>
        <w:t>按市审计局意见、市国资委批复，完成金盾公司章程修改及增资工商变更。</w:t>
      </w:r>
    </w:p>
    <w:p>
      <w:pPr>
        <w:widowControl w:val="0"/>
        <w:wordWrap/>
        <w:adjustRightInd/>
        <w:snapToGrid/>
        <w:spacing w:before="0" w:after="0" w:line="579" w:lineRule="exact"/>
        <w:ind w:right="0" w:firstLine="643"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sz w:val="34"/>
          <w:szCs w:val="34"/>
        </w:rPr>
        <w:t>3.在深化“三项制度”改革落实不到位方面。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sz w:val="34"/>
          <w:szCs w:val="34"/>
        </w:rPr>
        <w:t>推进“三能”机制建设，完成组织架构、岗位编制设定等多项工作。</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sz w:val="34"/>
          <w:szCs w:val="34"/>
        </w:rPr>
        <w:t>修订薪酬、绩效管理办法，制定岗位评估与职级方案，推动职工收入“能增能减”。规范转岗、离岗人员管理。</w:t>
      </w:r>
    </w:p>
    <w:p>
      <w:pPr>
        <w:widowControl w:val="0"/>
        <w:wordWrap/>
        <w:adjustRightInd/>
        <w:snapToGrid/>
        <w:spacing w:before="0" w:after="0" w:line="579" w:lineRule="exact"/>
        <w:ind w:right="0" w:firstLine="643"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sz w:val="34"/>
          <w:szCs w:val="34"/>
        </w:rPr>
        <w:t>4.在国有资产没有实现应划尽划方面。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sz w:val="34"/>
          <w:szCs w:val="34"/>
        </w:rPr>
        <w:t>公路沥青拌合站、公路勘察设计院完成人员安置、债务处置、清产核资、资产评估等事转企工作，取得市政府资产划转批复并入账。</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sz w:val="34"/>
          <w:szCs w:val="34"/>
        </w:rPr>
        <w:t>全面统一财务核算软件，制定《大额资金使用管理办法》，修订《应收账款管理办法》，提升资金使用效率与财务风险控制能力。</w:t>
      </w:r>
    </w:p>
    <w:p>
      <w:pPr>
        <w:widowControl w:val="0"/>
        <w:wordWrap/>
        <w:adjustRightInd/>
        <w:snapToGrid/>
        <w:spacing w:before="0" w:after="0" w:line="579" w:lineRule="exact"/>
        <w:ind w:right="0" w:firstLine="643"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sz w:val="34"/>
          <w:szCs w:val="34"/>
        </w:rPr>
        <w:t>5.在法务工作体制机制不完备方面。</w:t>
      </w:r>
      <w:r>
        <w:rPr>
          <w:rFonts w:hint="default" w:ascii="Times New Roman" w:hAnsi="Times New Roman" w:eastAsia="方正仿宋简体" w:cs="Times New Roman"/>
          <w:sz w:val="34"/>
          <w:szCs w:val="34"/>
        </w:rPr>
        <w:t>聘请专职律师签订常年法律顾问合同，涉外签订合同、法律事务及内部规章制度均由法律顾问参与给出法律意见，邀请法律顾问到集团调研座谈，对集团运营和管理提出意见建议。</w:t>
      </w:r>
    </w:p>
    <w:p>
      <w:pPr>
        <w:widowControl w:val="0"/>
        <w:wordWrap/>
        <w:adjustRightInd/>
        <w:snapToGrid/>
        <w:spacing w:before="0" w:after="0" w:line="579" w:lineRule="exact"/>
        <w:ind w:right="0" w:firstLine="640" w:firstLineChars="20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（四）统筹发展和安全不到位，防范化解重大风险存在短板弱项</w:t>
      </w:r>
    </w:p>
    <w:p>
      <w:pPr>
        <w:widowControl w:val="0"/>
        <w:wordWrap/>
        <w:adjustRightInd/>
        <w:snapToGrid/>
        <w:spacing w:before="0" w:after="0" w:line="579" w:lineRule="exact"/>
        <w:ind w:right="0" w:firstLine="63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sz w:val="34"/>
          <w:szCs w:val="34"/>
        </w:rPr>
        <w:t>1.在内控制度有缺失，执行不严格方面。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sz w:val="34"/>
          <w:szCs w:val="34"/>
        </w:rPr>
        <w:t>制定集团投资管理办法、融资管理制度及备用金制度</w:t>
      </w:r>
      <w:r>
        <w:rPr>
          <w:rFonts w:hint="default" w:ascii="Times New Roman" w:hAnsi="Times New Roman" w:eastAsia="方正仿宋简体" w:cs="Times New Roman"/>
          <w:b/>
          <w:sz w:val="34"/>
          <w:szCs w:val="34"/>
        </w:rPr>
        <w:t>,</w:t>
      </w:r>
      <w:r>
        <w:rPr>
          <w:rFonts w:hint="default" w:ascii="Times New Roman" w:hAnsi="Times New Roman" w:eastAsia="方正仿宋简体" w:cs="Times New Roman"/>
          <w:sz w:val="34"/>
          <w:szCs w:val="34"/>
        </w:rPr>
        <w:t>组织下属单位学习培训并督促落实</w:t>
      </w:r>
      <w:r>
        <w:rPr>
          <w:rFonts w:hint="default" w:ascii="Times New Roman" w:hAnsi="Times New Roman" w:eastAsia="方正仿宋简体" w:cs="Times New Roman"/>
          <w:bCs/>
          <w:sz w:val="34"/>
          <w:szCs w:val="34"/>
        </w:rPr>
        <w:t>。</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bCs/>
          <w:sz w:val="34"/>
          <w:szCs w:val="34"/>
        </w:rPr>
        <w:t>客运站</w:t>
      </w:r>
      <w:r>
        <w:rPr>
          <w:rFonts w:hint="default" w:ascii="Times New Roman" w:hAnsi="Times New Roman" w:eastAsia="方正仿宋简体" w:cs="Times New Roman"/>
          <w:sz w:val="34"/>
          <w:szCs w:val="34"/>
        </w:rPr>
        <w:t>开展个人备用金清理工作，按售票周转零钱进行管理，按月清查；通达公司完善备用金借款制度，年末前清零。</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sz w:val="34"/>
          <w:szCs w:val="34"/>
        </w:rPr>
        <w:t>客运站开通超市微信、支付宝专用账户，指派非超市员工实名认证，确保专户专用。</w:t>
      </w:r>
      <w:r>
        <w:rPr>
          <w:rFonts w:hint="default" w:ascii="黑体" w:hAnsi="黑体" w:eastAsia="黑体" w:cs="黑体"/>
          <w:kern w:val="2"/>
          <w:sz w:val="34"/>
          <w:szCs w:val="34"/>
          <w:lang w:val="en-US" w:eastAsia="zh-CN" w:bidi="ar-SA"/>
        </w:rPr>
        <w:t>四是</w:t>
      </w:r>
      <w:r>
        <w:rPr>
          <w:rFonts w:hint="default" w:ascii="Times New Roman" w:hAnsi="Times New Roman" w:eastAsia="方正仿宋简体" w:cs="Times New Roman"/>
          <w:sz w:val="34"/>
          <w:szCs w:val="34"/>
        </w:rPr>
        <w:t>通达公司清查账目，聘请律师，正在通过司法程序进行清欠。</w:t>
      </w:r>
    </w:p>
    <w:p>
      <w:pPr>
        <w:widowControl w:val="0"/>
        <w:wordWrap/>
        <w:adjustRightInd/>
        <w:snapToGrid/>
        <w:spacing w:before="0" w:after="0" w:line="579" w:lineRule="exact"/>
        <w:ind w:right="0" w:firstLine="643" w:firstLineChars="200"/>
        <w:jc w:val="left"/>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sz w:val="34"/>
          <w:szCs w:val="34"/>
        </w:rPr>
        <w:t>2</w:t>
      </w:r>
      <w:r>
        <w:rPr>
          <w:rFonts w:hint="eastAsia" w:ascii="Times New Roman" w:hAnsi="Times New Roman" w:eastAsia="方正仿宋简体" w:cs="Times New Roman"/>
          <w:b/>
          <w:sz w:val="34"/>
          <w:szCs w:val="34"/>
          <w:lang w:val="en-US" w:eastAsia="zh-CN"/>
        </w:rPr>
        <w:t>.</w:t>
      </w:r>
      <w:r>
        <w:rPr>
          <w:rFonts w:hint="default" w:ascii="Times New Roman" w:hAnsi="Times New Roman" w:eastAsia="方正仿宋简体" w:cs="Times New Roman"/>
          <w:b/>
          <w:sz w:val="34"/>
          <w:szCs w:val="34"/>
        </w:rPr>
        <w:t>在债务风险管控不到位方面。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sz w:val="34"/>
          <w:szCs w:val="34"/>
        </w:rPr>
        <w:t>制定集团债务风险预警制度，2025年起用结余资金逐步偿还借款。</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sz w:val="34"/>
          <w:szCs w:val="34"/>
        </w:rPr>
        <w:t>通过转型升级、扩展新项目、控制成本增加企业收入，逐年减少亏损企业亏损额度，解决拖欠工资及其他欠款问题。</w:t>
      </w:r>
    </w:p>
    <w:p>
      <w:pPr>
        <w:widowControl w:val="0"/>
        <w:wordWrap/>
        <w:adjustRightInd/>
        <w:snapToGrid/>
        <w:spacing w:before="0" w:after="0" w:line="579" w:lineRule="exact"/>
        <w:ind w:right="0" w:firstLine="643"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sz w:val="34"/>
          <w:szCs w:val="34"/>
        </w:rPr>
        <w:t>3.在国有资产管控和盘活不力方面。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sz w:val="34"/>
          <w:szCs w:val="34"/>
        </w:rPr>
        <w:t>金盾公司盘点全部车辆，完成股权工商变更手续、</w:t>
      </w:r>
      <w:r>
        <w:rPr>
          <w:rFonts w:hint="default" w:ascii="Times New Roman" w:hAnsi="Times New Roman" w:eastAsia="方正仿宋简体" w:cs="Times New Roman"/>
          <w:color w:val="000000"/>
          <w:sz w:val="34"/>
          <w:szCs w:val="34"/>
        </w:rPr>
        <w:t>清产核资工作，对闲置公务用车进行处置；</w:t>
      </w:r>
      <w:r>
        <w:rPr>
          <w:rFonts w:hint="default" w:ascii="Times New Roman" w:hAnsi="Times New Roman" w:eastAsia="方正仿宋简体" w:cs="Times New Roman"/>
          <w:sz w:val="34"/>
          <w:szCs w:val="34"/>
        </w:rPr>
        <w:t>排查出借资金情况，建立台账、完善流程，出借本金及利息已全部还回。</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sz w:val="34"/>
          <w:szCs w:val="34"/>
        </w:rPr>
        <w:t>集团同步加强资产管理与核算，开展资产清查工作，纳入年末考核，提高集团资产管理水平。</w:t>
      </w:r>
    </w:p>
    <w:p>
      <w:pPr>
        <w:widowControl w:val="0"/>
        <w:wordWrap/>
        <w:adjustRightInd/>
        <w:snapToGrid/>
        <w:spacing w:before="0" w:after="0" w:line="579" w:lineRule="exact"/>
        <w:ind w:right="0" w:firstLine="643"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sz w:val="34"/>
          <w:szCs w:val="34"/>
        </w:rPr>
        <w:t>4.在安全生产隐患排查有漏洞方面。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sz w:val="34"/>
          <w:szCs w:val="34"/>
        </w:rPr>
        <w:t>每月开展安全生产监督检查，建立重大事故隐患自查自改机制。2024年-2025年春节“两会”期间开展安全隐患排查和安全生产检查工作。</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sz w:val="34"/>
          <w:szCs w:val="34"/>
        </w:rPr>
        <w:t>金盾公司组织驾驶员开展培训，落实“车场日”制度，定期考核，建立行车安全奖励机制，完善安全监控及事故倒查追责。</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sz w:val="34"/>
          <w:szCs w:val="34"/>
        </w:rPr>
        <w:t>水路客运站在引桥增加隔离桩，确定上、下船通道，限流通行，加派人员引导游客有序登船。</w:t>
      </w:r>
    </w:p>
    <w:p>
      <w:pPr>
        <w:widowControl w:val="0"/>
        <w:wordWrap/>
        <w:adjustRightInd/>
        <w:snapToGrid/>
        <w:spacing w:before="0" w:after="0" w:line="579" w:lineRule="exact"/>
        <w:ind w:right="0" w:firstLine="640" w:firstLineChars="20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（五）全面从严治党党委主体责任和纪委监督责任未压实落细，廉政风险把控不力</w:t>
      </w:r>
    </w:p>
    <w:p>
      <w:pPr>
        <w:widowControl w:val="0"/>
        <w:wordWrap/>
        <w:adjustRightInd/>
        <w:snapToGrid/>
        <w:spacing w:before="0" w:after="0" w:line="579" w:lineRule="exact"/>
        <w:ind w:left="0" w:leftChars="0" w:right="0" w:firstLine="680" w:firstLineChars="200"/>
        <w:jc w:val="center"/>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sz w:val="34"/>
          <w:szCs w:val="34"/>
        </w:rPr>
        <w:t>1.在“一岗双责”落实不到位方面。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sz w:val="34"/>
          <w:szCs w:val="34"/>
        </w:rPr>
        <w:t>组织学习《党委（党组）落实全面从严治党主体责任规定》，召开党委会专题研究上半年全面从严治党工作，印发2025年全面从严</w:t>
      </w:r>
    </w:p>
    <w:p>
      <w:pPr>
        <w:widowControl w:val="0"/>
        <w:wordWrap/>
        <w:adjustRightInd/>
        <w:snapToGrid/>
        <w:spacing w:before="0" w:after="0" w:line="579" w:lineRule="exact"/>
        <w:ind w:right="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治党工作要点；开展《国有企业管理人员处分条例》培训，开展廉政风险点研判。</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sz w:val="34"/>
          <w:szCs w:val="34"/>
        </w:rPr>
        <w:t>召开2024年度民主生活会暨巡察整改专题民主生活会、述职述廉前</w:t>
      </w:r>
      <w:r>
        <w:rPr>
          <w:rFonts w:hint="default" w:ascii="Times New Roman" w:hAnsi="Times New Roman" w:eastAsia="方正仿宋简体" w:cs="Times New Roman"/>
          <w:b/>
          <w:sz w:val="34"/>
          <w:szCs w:val="34"/>
        </w:rPr>
        <w:t>，</w:t>
      </w:r>
      <w:r>
        <w:rPr>
          <w:rFonts w:hint="default" w:ascii="Times New Roman" w:hAnsi="Times New Roman" w:eastAsia="方正仿宋简体" w:cs="Times New Roman"/>
          <w:sz w:val="34"/>
          <w:szCs w:val="34"/>
        </w:rPr>
        <w:t>由</w:t>
      </w:r>
      <w:r>
        <w:rPr>
          <w:rFonts w:hint="default" w:ascii="Times New Roman" w:hAnsi="Times New Roman" w:eastAsia="方正仿宋简体" w:cs="Times New Roman"/>
          <w:bCs/>
          <w:sz w:val="34"/>
          <w:szCs w:val="34"/>
        </w:rPr>
        <w:t>党群工作部初审</w:t>
      </w:r>
      <w:r>
        <w:rPr>
          <w:rFonts w:hint="default" w:ascii="Times New Roman" w:hAnsi="Times New Roman" w:eastAsia="方正仿宋简体" w:cs="Times New Roman"/>
          <w:sz w:val="34"/>
          <w:szCs w:val="34"/>
        </w:rPr>
        <w:t>领导巡察和审计发现问题剖析情况，党委书记终审把关。</w:t>
      </w:r>
    </w:p>
    <w:p>
      <w:pPr>
        <w:widowControl w:val="0"/>
        <w:wordWrap/>
        <w:adjustRightInd/>
        <w:snapToGrid/>
        <w:spacing w:before="0" w:after="0" w:line="579" w:lineRule="exact"/>
        <w:ind w:right="0" w:firstLine="630" w:firstLineChars="196"/>
        <w:textAlignment w:val="auto"/>
        <w:outlineLvl w:val="9"/>
        <w:rPr>
          <w:rFonts w:hint="default" w:ascii="Times New Roman" w:hAnsi="Times New Roman" w:eastAsia="方正仿宋简体" w:cs="Times New Roman"/>
          <w:bCs/>
          <w:color w:val="000000"/>
          <w:sz w:val="34"/>
          <w:szCs w:val="34"/>
        </w:rPr>
      </w:pPr>
      <w:r>
        <w:rPr>
          <w:rFonts w:hint="default" w:ascii="Times New Roman" w:hAnsi="Times New Roman" w:eastAsia="方正仿宋简体" w:cs="Times New Roman"/>
          <w:b/>
          <w:sz w:val="34"/>
          <w:szCs w:val="34"/>
        </w:rPr>
        <w:t>2.在纪委监督作用发挥不充分方面。</w:t>
      </w:r>
      <w:r>
        <w:rPr>
          <w:rFonts w:hint="default" w:ascii="Times New Roman" w:hAnsi="Times New Roman" w:eastAsia="方正仿宋简体" w:cs="Times New Roman"/>
          <w:bCs/>
          <w:color w:val="000000"/>
          <w:sz w:val="34"/>
          <w:szCs w:val="34"/>
        </w:rPr>
        <w:t>排查违规经商办企业行为，召开集团警示教育会议，通报违纪违法情况;明确金盾公司机构设置、人员编制,确定监督监管工作重点。</w:t>
      </w:r>
    </w:p>
    <w:p>
      <w:pPr>
        <w:widowControl w:val="0"/>
        <w:wordWrap/>
        <w:adjustRightInd/>
        <w:snapToGrid/>
        <w:spacing w:before="0" w:after="0" w:line="579" w:lineRule="exact"/>
        <w:ind w:right="0" w:firstLine="643"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sz w:val="34"/>
          <w:szCs w:val="34"/>
        </w:rPr>
        <w:t>3.在对下属子公司履行招标采购程序监管不到位方面。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bCs/>
          <w:sz w:val="34"/>
          <w:szCs w:val="34"/>
        </w:rPr>
        <w:t>修改《丹东市交通运输集团有限责任公司采购管理工作暂行办法》，压实虚假资料中标、规避招标等问题责任；</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bCs/>
          <w:sz w:val="34"/>
          <w:szCs w:val="34"/>
        </w:rPr>
        <w:t xml:space="preserve">通达公司审查供应商资质，精准测算2025年招标项目，降低差异与成本，避免浪费。 </w:t>
      </w:r>
    </w:p>
    <w:p>
      <w:pPr>
        <w:widowControl w:val="0"/>
        <w:wordWrap/>
        <w:adjustRightInd/>
        <w:snapToGrid/>
        <w:spacing w:before="0" w:after="0" w:line="579" w:lineRule="exact"/>
        <w:ind w:right="0" w:firstLine="640" w:firstLineChars="20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（六）党的基层组织建设质量不高，选人用人存在薄弱环节</w:t>
      </w:r>
    </w:p>
    <w:p>
      <w:pPr>
        <w:widowControl w:val="0"/>
        <w:wordWrap/>
        <w:adjustRightInd/>
        <w:snapToGrid/>
        <w:spacing w:before="0" w:after="0" w:line="579" w:lineRule="exact"/>
        <w:ind w:right="0" w:firstLine="631"/>
        <w:textAlignment w:val="auto"/>
        <w:outlineLvl w:val="9"/>
        <w:rPr>
          <w:rFonts w:hint="default" w:ascii="Times New Roman" w:hAnsi="Times New Roman" w:eastAsia="方正仿宋简体" w:cs="Times New Roman"/>
          <w:b/>
          <w:bCs/>
          <w:sz w:val="34"/>
          <w:szCs w:val="34"/>
        </w:rPr>
      </w:pPr>
      <w:r>
        <w:rPr>
          <w:rFonts w:hint="default" w:ascii="Times New Roman" w:hAnsi="Times New Roman" w:eastAsia="方正仿宋简体" w:cs="Times New Roman"/>
          <w:b/>
          <w:sz w:val="34"/>
          <w:szCs w:val="34"/>
        </w:rPr>
        <w:t>1.在支部规范化建设不到位方面。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color w:val="000000"/>
          <w:sz w:val="34"/>
          <w:szCs w:val="34"/>
        </w:rPr>
        <w:t>抽检党支部标准化规范化工作，一对一指导未达星级支部；组织基层党组织对照《中国共产党国有企业基层组织工作条例（试行）》,开展自查整改。</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bCs/>
          <w:sz w:val="34"/>
          <w:szCs w:val="34"/>
        </w:rPr>
        <w:t>培训党务工作者，</w:t>
      </w:r>
      <w:r>
        <w:rPr>
          <w:rFonts w:hint="default" w:ascii="Times New Roman" w:hAnsi="Times New Roman" w:eastAsia="方正仿宋简体" w:cs="Times New Roman"/>
          <w:sz w:val="34"/>
          <w:szCs w:val="34"/>
        </w:rPr>
        <w:t>学习法规制度，熟悉流程，制定统一党员谈心谈话记录表，</w:t>
      </w:r>
      <w:r>
        <w:rPr>
          <w:rFonts w:hint="default" w:ascii="Times New Roman" w:hAnsi="Times New Roman" w:eastAsia="方正仿宋简体" w:cs="Times New Roman"/>
          <w:color w:val="000000"/>
          <w:sz w:val="34"/>
          <w:szCs w:val="34"/>
        </w:rPr>
        <w:t>实现党员全覆盖； 2025年组织生活会前</w:t>
      </w:r>
      <w:r>
        <w:rPr>
          <w:rFonts w:hint="default" w:ascii="Times New Roman" w:hAnsi="Times New Roman" w:eastAsia="方正仿宋简体" w:cs="Times New Roman"/>
          <w:sz w:val="34"/>
          <w:szCs w:val="34"/>
        </w:rPr>
        <w:t>制发方案，做好会前提醒、会中督导、会后材料检查。</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sz w:val="34"/>
          <w:szCs w:val="34"/>
        </w:rPr>
        <w:t>检查</w:t>
      </w:r>
      <w:r>
        <w:rPr>
          <w:rFonts w:hint="default" w:ascii="Times New Roman" w:hAnsi="Times New Roman" w:eastAsia="方正仿宋简体" w:cs="Times New Roman"/>
          <w:bCs/>
          <w:sz w:val="34"/>
          <w:szCs w:val="34"/>
        </w:rPr>
        <w:t>2024年所属</w:t>
      </w:r>
      <w:r>
        <w:rPr>
          <w:rFonts w:hint="default" w:ascii="Times New Roman" w:hAnsi="Times New Roman" w:eastAsia="方正仿宋简体" w:cs="Times New Roman"/>
          <w:sz w:val="34"/>
          <w:szCs w:val="34"/>
        </w:rPr>
        <w:t>党组织换届资料，建立问题台账，规范组建、选举流程，</w:t>
      </w:r>
      <w:r>
        <w:rPr>
          <w:rFonts w:hint="default" w:ascii="Times New Roman" w:hAnsi="Times New Roman" w:eastAsia="方正仿宋简体" w:cs="Times New Roman"/>
          <w:color w:val="000000"/>
          <w:sz w:val="34"/>
          <w:szCs w:val="34"/>
        </w:rPr>
        <w:t>金盾公司机关党支部于2024年10月合规完成换届。</w:t>
      </w:r>
    </w:p>
    <w:p>
      <w:pPr>
        <w:widowControl w:val="0"/>
        <w:tabs>
          <w:tab w:val="left" w:pos="312"/>
        </w:tabs>
        <w:wordWrap/>
        <w:adjustRightInd/>
        <w:snapToGrid/>
        <w:spacing w:before="0" w:after="0" w:line="579" w:lineRule="exact"/>
        <w:ind w:right="0" w:firstLine="643"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sz w:val="34"/>
          <w:szCs w:val="34"/>
        </w:rPr>
        <w:t>2.在发展党员程序不规范方面。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sz w:val="34"/>
          <w:szCs w:val="34"/>
        </w:rPr>
        <w:t>培训党务干部学习《中国共产党发展党员工作细则》等，党委会执行发展党员逐人讨论表决制，确保“一人一议”，记录完整；</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sz w:val="34"/>
          <w:szCs w:val="34"/>
        </w:rPr>
        <w:t>提供统一规范的公示流程标准，年初党建考核检查公示期及公示流程不规范等问题。</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sz w:val="34"/>
          <w:szCs w:val="34"/>
        </w:rPr>
        <w:t>开展党员发展工作专项检查，核查档案，对存在问题的档案重新认定，复查 13名党员、10名积极分子档案，补正材料和程序，将发展党员工作纳入党组织书记年度考核。</w:t>
      </w:r>
    </w:p>
    <w:p>
      <w:pPr>
        <w:widowControl w:val="0"/>
        <w:tabs>
          <w:tab w:val="left" w:pos="312"/>
        </w:tabs>
        <w:wordWrap/>
        <w:adjustRightInd/>
        <w:snapToGrid/>
        <w:spacing w:before="0" w:after="0" w:line="579" w:lineRule="exact"/>
        <w:ind w:right="0" w:firstLine="643" w:firstLineChars="200"/>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b/>
          <w:sz w:val="34"/>
          <w:szCs w:val="34"/>
        </w:rPr>
        <w:t>3.在干部选拔任用和教育管理有不足方面。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color w:val="000000"/>
          <w:sz w:val="34"/>
          <w:szCs w:val="34"/>
        </w:rPr>
        <w:t>培训人事干部学习《党政领导干部选拔任用工作条例》，推进“三能”机制建设，完成组织架构、岗位编制设定等项工作。</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color w:val="000000"/>
          <w:sz w:val="34"/>
          <w:szCs w:val="34"/>
        </w:rPr>
        <w:t>修订薪酬管理、绩效管理办法,制定岗位评估与职级方案，摸底干部结构，制定年轻干部选拔计划，逐步完善干部队伍结构。</w:t>
      </w:r>
      <w:r>
        <w:rPr>
          <w:rFonts w:hint="default" w:ascii="黑体" w:hAnsi="黑体" w:eastAsia="黑体" w:cs="黑体"/>
          <w:kern w:val="2"/>
          <w:sz w:val="34"/>
          <w:szCs w:val="34"/>
          <w:lang w:val="en-US" w:eastAsia="zh-CN" w:bidi="ar-SA"/>
        </w:rPr>
        <w:t>三是</w:t>
      </w:r>
      <w:r>
        <w:rPr>
          <w:rFonts w:hint="default" w:ascii="Times New Roman" w:hAnsi="Times New Roman" w:eastAsia="方正仿宋简体" w:cs="Times New Roman"/>
          <w:color w:val="000000"/>
          <w:sz w:val="34"/>
          <w:szCs w:val="34"/>
        </w:rPr>
        <w:t>排查近两年因私出国（境）护照，整理归档，进行动态管理，所属单位因私出国(境）实现提级管理，出国（境）审批、证件由集团统一管理。</w:t>
      </w:r>
    </w:p>
    <w:p>
      <w:pPr>
        <w:widowControl w:val="0"/>
        <w:wordWrap/>
        <w:adjustRightInd/>
        <w:snapToGrid/>
        <w:spacing w:before="0" w:after="0" w:line="579" w:lineRule="exact"/>
        <w:ind w:right="0" w:firstLine="643"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b/>
          <w:sz w:val="34"/>
          <w:szCs w:val="34"/>
        </w:rPr>
        <w:t>4.在干部和人才队伍未形成合理梯队方面。</w:t>
      </w:r>
      <w:r>
        <w:rPr>
          <w:rFonts w:hint="default" w:ascii="黑体" w:hAnsi="黑体" w:eastAsia="黑体" w:cs="黑体"/>
          <w:kern w:val="2"/>
          <w:sz w:val="34"/>
          <w:szCs w:val="34"/>
          <w:lang w:val="en-US" w:eastAsia="zh-CN" w:bidi="ar-SA"/>
        </w:rPr>
        <w:t>一是</w:t>
      </w:r>
      <w:r>
        <w:rPr>
          <w:rFonts w:hint="default" w:ascii="Times New Roman" w:hAnsi="Times New Roman" w:eastAsia="方正仿宋简体" w:cs="Times New Roman"/>
          <w:sz w:val="34"/>
          <w:szCs w:val="34"/>
        </w:rPr>
        <w:t>推进 “三能”机制建设，制定《干部培养计划》《党委人才储备与培养管理办法》，加大年轻干部储备力度。</w:t>
      </w:r>
      <w:r>
        <w:rPr>
          <w:rFonts w:hint="default" w:ascii="黑体" w:hAnsi="黑体" w:eastAsia="黑体" w:cs="黑体"/>
          <w:kern w:val="2"/>
          <w:sz w:val="34"/>
          <w:szCs w:val="34"/>
          <w:lang w:val="en-US" w:eastAsia="zh-CN" w:bidi="ar-SA"/>
        </w:rPr>
        <w:t>二是</w:t>
      </w:r>
      <w:r>
        <w:rPr>
          <w:rFonts w:hint="default" w:ascii="Times New Roman" w:hAnsi="Times New Roman" w:eastAsia="方正仿宋简体" w:cs="Times New Roman"/>
          <w:sz w:val="34"/>
          <w:szCs w:val="34"/>
        </w:rPr>
        <w:t>制定2025年集团招聘计划并落实，将继续多渠道招聘，完善专业技术队伍结构。</w:t>
      </w:r>
    </w:p>
    <w:p>
      <w:pPr>
        <w:pStyle w:val="9"/>
        <w:widowControl w:val="0"/>
        <w:numPr>
          <w:numId w:val="0"/>
        </w:numPr>
        <w:wordWrap/>
        <w:adjustRightInd/>
        <w:snapToGrid/>
        <w:spacing w:before="0" w:after="0" w:line="579" w:lineRule="exact"/>
        <w:ind w:left="640" w:leftChars="0" w:right="0"/>
        <w:textAlignment w:val="auto"/>
        <w:outlineLvl w:val="9"/>
        <w:rPr>
          <w:rFonts w:hint="default" w:ascii="黑体" w:hAnsi="黑体" w:eastAsia="黑体" w:cs="黑体"/>
          <w:sz w:val="34"/>
          <w:szCs w:val="34"/>
        </w:rPr>
      </w:pPr>
      <w:r>
        <w:rPr>
          <w:rFonts w:hint="eastAsia" w:ascii="黑体" w:hAnsi="黑体" w:eastAsia="黑体" w:cs="黑体"/>
          <w:sz w:val="34"/>
          <w:szCs w:val="34"/>
          <w:lang w:eastAsia="zh-CN"/>
        </w:rPr>
        <w:t>三、</w:t>
      </w:r>
      <w:r>
        <w:rPr>
          <w:rFonts w:hint="default" w:ascii="黑体" w:hAnsi="黑体" w:eastAsia="黑体" w:cs="黑体"/>
          <w:sz w:val="34"/>
          <w:szCs w:val="34"/>
        </w:rPr>
        <w:t>下一步工作打算及计划</w:t>
      </w:r>
    </w:p>
    <w:p>
      <w:pPr>
        <w:widowControl w:val="0"/>
        <w:wordWrap/>
        <w:adjustRightInd/>
        <w:snapToGrid/>
        <w:spacing w:before="0" w:after="0" w:line="579" w:lineRule="exact"/>
        <w:ind w:right="0" w:firstLine="640" w:firstLineChars="20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（一）提高政治站位，坚决贯彻执行党中央决策部署</w:t>
      </w:r>
    </w:p>
    <w:p>
      <w:pPr>
        <w:widowControl w:val="0"/>
        <w:wordWrap/>
        <w:adjustRightInd/>
        <w:snapToGrid/>
        <w:spacing w:before="0" w:after="0" w:line="579" w:lineRule="exact"/>
        <w:ind w:right="0" w:firstLine="640"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color w:val="000000"/>
          <w:sz w:val="34"/>
          <w:szCs w:val="34"/>
        </w:rPr>
        <w:t>持续深入学习贯彻习近平新时代中国特色社会主义思想，</w:t>
      </w:r>
      <w:r>
        <w:rPr>
          <w:rFonts w:hint="default" w:ascii="Times New Roman" w:hAnsi="Times New Roman" w:eastAsia="方正仿宋简体" w:cs="Times New Roman"/>
          <w:sz w:val="34"/>
          <w:szCs w:val="34"/>
        </w:rPr>
        <w:t>特别是习近平总书记在辽宁考察工作时的重要讲话精神，把巡察整改与巩固拓展主题教育、常态化开展党纪学习教育、扎实开展深入贯彻中央八项规定精神学习教育结合起来，</w:t>
      </w:r>
      <w:r>
        <w:rPr>
          <w:rFonts w:hint="default" w:ascii="Times New Roman" w:hAnsi="Times New Roman" w:eastAsia="方正仿宋简体" w:cs="Times New Roman"/>
          <w:bCs/>
          <w:color w:val="000000"/>
          <w:spacing w:val="11"/>
          <w:sz w:val="34"/>
          <w:szCs w:val="34"/>
        </w:rPr>
        <w:t>全面贯彻落实党中央重大决策部署和省市委工作要求，</w:t>
      </w:r>
      <w:r>
        <w:rPr>
          <w:rFonts w:hint="default" w:ascii="Times New Roman" w:hAnsi="Times New Roman" w:eastAsia="方正仿宋简体" w:cs="Times New Roman"/>
          <w:sz w:val="34"/>
          <w:szCs w:val="34"/>
        </w:rPr>
        <w:t>不断提高政治站位，夯实思想根基。</w:t>
      </w:r>
    </w:p>
    <w:p>
      <w:pPr>
        <w:widowControl w:val="0"/>
        <w:wordWrap/>
        <w:adjustRightInd/>
        <w:snapToGrid/>
        <w:spacing w:before="0" w:after="0" w:line="579" w:lineRule="exact"/>
        <w:ind w:right="0" w:firstLine="640" w:firstLineChars="200"/>
        <w:textAlignment w:val="auto"/>
        <w:outlineLvl w:val="9"/>
        <w:rPr>
          <w:rFonts w:hint="default" w:ascii="方正楷体简体" w:hAnsi="方正楷体简体" w:eastAsia="方正楷体简体" w:cs="方正楷体简体"/>
          <w:sz w:val="34"/>
          <w:szCs w:val="34"/>
        </w:rPr>
      </w:pPr>
      <w:r>
        <w:rPr>
          <w:rFonts w:hint="eastAsia" w:ascii="方正楷体简体" w:hAnsi="方正楷体简体" w:eastAsia="方正楷体简体" w:cs="方正楷体简体"/>
          <w:sz w:val="34"/>
          <w:szCs w:val="34"/>
          <w:lang w:eastAsia="zh-CN"/>
        </w:rPr>
        <w:t>（二）</w:t>
      </w:r>
      <w:r>
        <w:rPr>
          <w:rFonts w:hint="default" w:ascii="方正楷体简体" w:hAnsi="方正楷体简体" w:eastAsia="方正楷体简体" w:cs="方正楷体简体"/>
          <w:sz w:val="34"/>
          <w:szCs w:val="34"/>
        </w:rPr>
        <w:t>坚持整改到位，持续抓细抓长常态长效</w:t>
      </w:r>
    </w:p>
    <w:p>
      <w:pPr>
        <w:widowControl w:val="0"/>
        <w:wordWrap/>
        <w:adjustRightInd/>
        <w:snapToGrid/>
        <w:spacing w:before="0" w:after="0" w:line="579" w:lineRule="exact"/>
        <w:ind w:right="0" w:firstLine="480" w:firstLineChars="15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坚持问题导向，持续压实责任，针对未完成整改任务，将采取更有力的举措，全力推进整改任务落地见效。持续落实需长期坚持的整改措施，</w:t>
      </w:r>
      <w:r>
        <w:rPr>
          <w:rFonts w:hint="default" w:ascii="Times New Roman" w:hAnsi="Times New Roman" w:eastAsia="方正仿宋简体" w:cs="Times New Roman"/>
          <w:color w:val="000000"/>
          <w:sz w:val="34"/>
          <w:szCs w:val="34"/>
        </w:rPr>
        <w:t>对已完成整改的任务，适时组织“回头看”，巩固整改成果；对易反复、易反弹回潮的问题，紧盯不放，持续用力，久久为功，确保整改过的问题不反弹、不复发。</w:t>
      </w:r>
    </w:p>
    <w:p>
      <w:pPr>
        <w:widowControl w:val="0"/>
        <w:wordWrap/>
        <w:adjustRightInd/>
        <w:snapToGrid/>
        <w:spacing w:before="0" w:after="0" w:line="579" w:lineRule="exact"/>
        <w:ind w:right="0" w:firstLine="640" w:firstLineChars="200"/>
        <w:textAlignment w:val="auto"/>
        <w:outlineLvl w:val="9"/>
        <w:rPr>
          <w:rFonts w:hint="default" w:ascii="方正楷体简体" w:hAnsi="方正楷体简体" w:eastAsia="方正楷体简体" w:cs="方正楷体简体"/>
          <w:sz w:val="34"/>
          <w:szCs w:val="34"/>
        </w:rPr>
      </w:pPr>
      <w:r>
        <w:rPr>
          <w:rFonts w:hint="default" w:ascii="方正楷体简体" w:hAnsi="方正楷体简体" w:eastAsia="方正楷体简体" w:cs="方正楷体简体"/>
          <w:sz w:val="34"/>
          <w:szCs w:val="34"/>
        </w:rPr>
        <w:t>（三）深化整改成效，以巡促改推动高质量发展</w:t>
      </w:r>
    </w:p>
    <w:p>
      <w:pPr>
        <w:widowControl w:val="0"/>
        <w:wordWrap/>
        <w:adjustRightInd/>
        <w:snapToGrid/>
        <w:spacing w:before="0" w:after="0" w:line="579" w:lineRule="exact"/>
        <w:ind w:right="0" w:firstLine="627" w:firstLineChars="196"/>
        <w:textAlignment w:val="auto"/>
        <w:outlineLvl w:val="9"/>
        <w:rPr>
          <w:rFonts w:hint="default" w:ascii="Times New Roman" w:hAnsi="Times New Roman" w:eastAsia="方正仿宋简体" w:cs="Times New Roman"/>
          <w:color w:val="000000"/>
          <w:sz w:val="34"/>
          <w:szCs w:val="34"/>
        </w:rPr>
      </w:pPr>
      <w:r>
        <w:rPr>
          <w:rFonts w:hint="default" w:ascii="Times New Roman" w:hAnsi="Times New Roman" w:eastAsia="方正仿宋简体" w:cs="Times New Roman"/>
          <w:sz w:val="34"/>
          <w:szCs w:val="34"/>
        </w:rPr>
        <w:t>坚持“当下改”与“长久立”相结合，既立足治标抓整改，更着眼治本建机制。</w:t>
      </w:r>
      <w:r>
        <w:rPr>
          <w:rFonts w:hint="default" w:ascii="Times New Roman" w:hAnsi="Times New Roman" w:eastAsia="方正仿宋简体" w:cs="Times New Roman"/>
          <w:bCs/>
          <w:sz w:val="34"/>
          <w:szCs w:val="34"/>
        </w:rPr>
        <w:t>针对巡察反馈问题暴露出的制度漏洞和管理盲区，不断健全内控机制，</w:t>
      </w:r>
      <w:r>
        <w:rPr>
          <w:rFonts w:hint="default" w:ascii="Times New Roman" w:hAnsi="Times New Roman" w:eastAsia="方正仿宋简体" w:cs="Times New Roman"/>
          <w:sz w:val="34"/>
          <w:szCs w:val="34"/>
        </w:rPr>
        <w:t>完善各项制度，坚持以制度管人管事，强化制度的执行力。不断</w:t>
      </w:r>
      <w:r>
        <w:rPr>
          <w:rFonts w:hint="default" w:ascii="Times New Roman" w:hAnsi="Times New Roman" w:eastAsia="方正仿宋简体" w:cs="Times New Roman"/>
          <w:bCs/>
          <w:sz w:val="34"/>
          <w:szCs w:val="34"/>
        </w:rPr>
        <w:t>强化队伍建设，</w:t>
      </w:r>
      <w:r>
        <w:rPr>
          <w:rFonts w:hint="default" w:ascii="Times New Roman" w:hAnsi="Times New Roman" w:eastAsia="方正仿宋简体" w:cs="Times New Roman"/>
          <w:color w:val="000000"/>
          <w:sz w:val="34"/>
          <w:szCs w:val="34"/>
        </w:rPr>
        <w:t>聚焦选拔使用、教育培训、管理监督、激励保障关键环节，</w:t>
      </w:r>
      <w:r>
        <w:rPr>
          <w:rFonts w:hint="default" w:ascii="Times New Roman" w:hAnsi="Times New Roman" w:eastAsia="方正仿宋简体" w:cs="Times New Roman"/>
          <w:sz w:val="34"/>
          <w:szCs w:val="34"/>
        </w:rPr>
        <w:t>多措并举建设担当作为干部队伍。不断</w:t>
      </w:r>
      <w:r>
        <w:rPr>
          <w:rFonts w:hint="default" w:ascii="Times New Roman" w:hAnsi="Times New Roman" w:eastAsia="方正仿宋简体" w:cs="Times New Roman"/>
          <w:color w:val="000000"/>
          <w:spacing w:val="11"/>
          <w:sz w:val="34"/>
          <w:szCs w:val="34"/>
        </w:rPr>
        <w:t>强化纪律建设，</w:t>
      </w:r>
      <w:r>
        <w:rPr>
          <w:rFonts w:hint="default" w:ascii="Times New Roman" w:hAnsi="Times New Roman" w:eastAsia="方正仿宋简体" w:cs="Times New Roman"/>
          <w:sz w:val="34"/>
          <w:szCs w:val="34"/>
        </w:rPr>
        <w:t>把整改落实工作与党风廉政建设有机结合，</w:t>
      </w:r>
      <w:r>
        <w:rPr>
          <w:rFonts w:hint="default" w:ascii="Times New Roman" w:hAnsi="Times New Roman" w:eastAsia="方正仿宋简体" w:cs="Times New Roman"/>
          <w:bCs/>
          <w:kern w:val="0"/>
          <w:sz w:val="34"/>
          <w:szCs w:val="34"/>
        </w:rPr>
        <w:t>紧盯“关键少数”和重点领域，</w:t>
      </w:r>
      <w:r>
        <w:rPr>
          <w:rFonts w:hint="default" w:ascii="Times New Roman" w:hAnsi="Times New Roman" w:eastAsia="方正仿宋简体" w:cs="Times New Roman"/>
          <w:bCs/>
          <w:sz w:val="34"/>
          <w:szCs w:val="34"/>
        </w:rPr>
        <w:t>完善监督机制，</w:t>
      </w:r>
      <w:r>
        <w:rPr>
          <w:rFonts w:hint="default" w:ascii="Times New Roman" w:hAnsi="Times New Roman" w:eastAsia="方正仿宋简体" w:cs="Times New Roman"/>
          <w:sz w:val="34"/>
          <w:szCs w:val="34"/>
        </w:rPr>
        <w:t>有效提升监督和治理效能，</w:t>
      </w:r>
      <w:r>
        <w:rPr>
          <w:rFonts w:hint="default" w:ascii="Times New Roman" w:hAnsi="Times New Roman" w:eastAsia="方正仿宋简体" w:cs="Times New Roman"/>
          <w:color w:val="000000"/>
          <w:spacing w:val="11"/>
          <w:sz w:val="34"/>
          <w:szCs w:val="34"/>
        </w:rPr>
        <w:t>构建全面从严的常态格局，</w:t>
      </w:r>
      <w:r>
        <w:rPr>
          <w:rFonts w:hint="default" w:ascii="Times New Roman" w:hAnsi="Times New Roman" w:eastAsia="方正仿宋简体" w:cs="Times New Roman"/>
          <w:sz w:val="34"/>
          <w:szCs w:val="34"/>
        </w:rPr>
        <w:t>将整改成果转化为推动集团高质量发展的强大动力。</w:t>
      </w:r>
    </w:p>
    <w:p>
      <w:pPr>
        <w:widowControl w:val="0"/>
        <w:wordWrap/>
        <w:adjustRightInd/>
        <w:snapToGrid/>
        <w:spacing w:before="0" w:after="0" w:line="579" w:lineRule="exact"/>
        <w:ind w:right="0"/>
        <w:textAlignment w:val="auto"/>
        <w:outlineLvl w:val="9"/>
        <w:rPr>
          <w:rFonts w:hint="default" w:ascii="Times New Roman" w:hAnsi="Times New Roman" w:eastAsia="方正仿宋简体" w:cs="Times New Roman"/>
          <w:bCs/>
          <w:color w:val="000000"/>
          <w:spacing w:val="11"/>
          <w:sz w:val="34"/>
          <w:szCs w:val="34"/>
        </w:rPr>
      </w:pPr>
      <w:r>
        <w:rPr>
          <w:rFonts w:hint="default" w:ascii="Times New Roman" w:hAnsi="Times New Roman" w:eastAsia="方正仿宋简体" w:cs="Times New Roman"/>
          <w:bCs/>
          <w:color w:val="000000"/>
          <w:spacing w:val="11"/>
          <w:sz w:val="34"/>
          <w:szCs w:val="34"/>
        </w:rPr>
        <w:t xml:space="preserve">    欢迎广大干部群众对巡察整改落实进展情况进行监督。如有意见建议，请及时向我们反映。公开期限：</w:t>
      </w:r>
      <w:r>
        <w:rPr>
          <w:rFonts w:hint="default" w:ascii="Times New Roman" w:hAnsi="Times New Roman" w:eastAsia="方正仿宋简体" w:cs="Times New Roman"/>
          <w:sz w:val="34"/>
          <w:szCs w:val="34"/>
        </w:rPr>
        <w:t>2025年</w:t>
      </w:r>
      <w:r>
        <w:rPr>
          <w:rFonts w:hint="eastAsia" w:ascii="Times New Roman" w:hAnsi="Times New Roman" w:eastAsia="方正仿宋简体" w:cs="Times New Roman"/>
          <w:sz w:val="34"/>
          <w:szCs w:val="34"/>
          <w:lang w:val="en-US" w:eastAsia="zh-CN"/>
        </w:rPr>
        <w:t>11</w:t>
      </w:r>
      <w:r>
        <w:rPr>
          <w:rFonts w:hint="default" w:ascii="Times New Roman" w:hAnsi="Times New Roman" w:eastAsia="方正仿宋简体" w:cs="Times New Roman"/>
          <w:sz w:val="34"/>
          <w:szCs w:val="34"/>
        </w:rPr>
        <w:t>月</w:t>
      </w:r>
      <w:r>
        <w:rPr>
          <w:rFonts w:hint="eastAsia" w:ascii="Times New Roman" w:hAnsi="Times New Roman" w:eastAsia="方正仿宋简体" w:cs="Times New Roman"/>
          <w:sz w:val="34"/>
          <w:szCs w:val="34"/>
          <w:lang w:val="en-US" w:eastAsia="zh-CN"/>
        </w:rPr>
        <w:t>21</w:t>
      </w:r>
      <w:r>
        <w:rPr>
          <w:rFonts w:hint="default" w:ascii="Times New Roman" w:hAnsi="Times New Roman" w:eastAsia="方正仿宋简体" w:cs="Times New Roman"/>
          <w:sz w:val="34"/>
          <w:szCs w:val="34"/>
        </w:rPr>
        <w:t>日至</w:t>
      </w:r>
      <w:r>
        <w:rPr>
          <w:rFonts w:hint="eastAsia" w:ascii="Times New Roman" w:hAnsi="Times New Roman" w:eastAsia="方正仿宋简体" w:cs="Times New Roman"/>
          <w:sz w:val="34"/>
          <w:szCs w:val="34"/>
          <w:lang w:val="en-US" w:eastAsia="zh-CN"/>
        </w:rPr>
        <w:t>12</w:t>
      </w:r>
      <w:r>
        <w:rPr>
          <w:rFonts w:hint="default" w:ascii="Times New Roman" w:hAnsi="Times New Roman" w:eastAsia="方正仿宋简体" w:cs="Times New Roman"/>
          <w:sz w:val="34"/>
          <w:szCs w:val="34"/>
        </w:rPr>
        <w:t>月</w:t>
      </w:r>
      <w:r>
        <w:rPr>
          <w:rFonts w:hint="eastAsia" w:ascii="Times New Roman" w:hAnsi="Times New Roman" w:eastAsia="方正仿宋简体" w:cs="Times New Roman"/>
          <w:sz w:val="34"/>
          <w:szCs w:val="34"/>
          <w:lang w:val="en-US" w:eastAsia="zh-CN"/>
        </w:rPr>
        <w:t>11</w:t>
      </w:r>
      <w:r>
        <w:rPr>
          <w:rFonts w:hint="default" w:ascii="Times New Roman" w:hAnsi="Times New Roman" w:eastAsia="方正仿宋简体" w:cs="Times New Roman"/>
          <w:sz w:val="34"/>
          <w:szCs w:val="34"/>
        </w:rPr>
        <w:t>日。联系电话：2159813（工作日9:00-17:00）；邮政信箱：丹东市振兴区兴一路10号丹东市交通运输集团有限责任公司。</w:t>
      </w:r>
    </w:p>
    <w:p>
      <w:pPr>
        <w:widowControl w:val="0"/>
        <w:wordWrap/>
        <w:adjustRightInd/>
        <w:snapToGrid/>
        <w:spacing w:before="0" w:after="0" w:line="579" w:lineRule="exact"/>
        <w:ind w:right="0" w:firstLine="640" w:firstLineChars="200"/>
        <w:textAlignment w:val="auto"/>
        <w:outlineLvl w:val="9"/>
        <w:rPr>
          <w:rFonts w:hint="default" w:ascii="Times New Roman" w:hAnsi="Times New Roman" w:eastAsia="方正仿宋简体" w:cs="Times New Roman"/>
          <w:sz w:val="34"/>
          <w:szCs w:val="34"/>
        </w:rPr>
      </w:pPr>
    </w:p>
    <w:p>
      <w:pPr>
        <w:widowControl w:val="0"/>
        <w:wordWrap/>
        <w:adjustRightInd/>
        <w:snapToGrid/>
        <w:spacing w:before="0" w:after="0" w:line="579" w:lineRule="exact"/>
        <w:ind w:right="0" w:firstLine="640"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 xml:space="preserve">  </w:t>
      </w:r>
      <w:r>
        <w:rPr>
          <w:rFonts w:hint="eastAsia" w:ascii="Times New Roman" w:hAnsi="Times New Roman" w:eastAsia="方正仿宋简体" w:cs="Times New Roman"/>
          <w:sz w:val="34"/>
          <w:szCs w:val="34"/>
          <w:lang w:val="en-US" w:eastAsia="zh-CN"/>
        </w:rPr>
        <w:t xml:space="preserve">   </w:t>
      </w:r>
      <w:r>
        <w:rPr>
          <w:rFonts w:hint="default" w:ascii="Times New Roman" w:hAnsi="Times New Roman" w:eastAsia="方正仿宋简体" w:cs="Times New Roman"/>
          <w:sz w:val="34"/>
          <w:szCs w:val="34"/>
        </w:rPr>
        <w:t xml:space="preserve"> 中共丹东市交通运输集团有限责任公司委员会</w:t>
      </w:r>
    </w:p>
    <w:p>
      <w:pPr>
        <w:widowControl w:val="0"/>
        <w:wordWrap/>
        <w:adjustRightInd/>
        <w:snapToGrid/>
        <w:spacing w:before="0" w:after="0" w:line="579" w:lineRule="exact"/>
        <w:ind w:right="0" w:firstLine="640" w:firstLineChars="200"/>
        <w:textAlignment w:val="auto"/>
        <w:outlineLvl w:val="9"/>
        <w:rPr>
          <w:rFonts w:hint="default" w:ascii="Times New Roman" w:hAnsi="Times New Roman" w:eastAsia="方正仿宋简体" w:cs="Times New Roman"/>
          <w:sz w:val="34"/>
          <w:szCs w:val="34"/>
        </w:rPr>
      </w:pPr>
      <w:r>
        <w:rPr>
          <w:rFonts w:hint="default" w:ascii="Times New Roman" w:hAnsi="Times New Roman" w:eastAsia="方正仿宋简体" w:cs="Times New Roman"/>
          <w:sz w:val="34"/>
          <w:szCs w:val="34"/>
        </w:rPr>
        <w:t xml:space="preserve">             </w:t>
      </w:r>
      <w:r>
        <w:rPr>
          <w:rFonts w:hint="eastAsia" w:ascii="Times New Roman" w:hAnsi="Times New Roman" w:eastAsia="方正仿宋简体" w:cs="Times New Roman"/>
          <w:sz w:val="34"/>
          <w:szCs w:val="34"/>
          <w:lang w:val="en-US" w:eastAsia="zh-CN"/>
        </w:rPr>
        <w:t xml:space="preserve">   </w:t>
      </w:r>
      <w:r>
        <w:rPr>
          <w:rFonts w:hint="default" w:ascii="Times New Roman" w:hAnsi="Times New Roman" w:eastAsia="方正仿宋简体" w:cs="Times New Roman"/>
          <w:sz w:val="34"/>
          <w:szCs w:val="34"/>
        </w:rPr>
        <w:t xml:space="preserve">   2025年</w:t>
      </w:r>
      <w:r>
        <w:rPr>
          <w:rFonts w:hint="eastAsia" w:ascii="Times New Roman" w:hAnsi="Times New Roman" w:eastAsia="方正仿宋简体" w:cs="Times New Roman"/>
          <w:sz w:val="34"/>
          <w:szCs w:val="34"/>
          <w:lang w:val="en-US" w:eastAsia="zh-CN"/>
        </w:rPr>
        <w:t>11</w:t>
      </w:r>
      <w:r>
        <w:rPr>
          <w:rFonts w:hint="default" w:ascii="Times New Roman" w:hAnsi="Times New Roman" w:eastAsia="方正仿宋简体" w:cs="Times New Roman"/>
          <w:sz w:val="34"/>
          <w:szCs w:val="34"/>
        </w:rPr>
        <w:t>月</w:t>
      </w:r>
      <w:r>
        <w:rPr>
          <w:rFonts w:hint="eastAsia" w:ascii="Times New Roman" w:hAnsi="Times New Roman" w:eastAsia="方正仿宋简体" w:cs="Times New Roman"/>
          <w:sz w:val="34"/>
          <w:szCs w:val="34"/>
          <w:lang w:val="en-US" w:eastAsia="zh-CN"/>
        </w:rPr>
        <w:t>21</w:t>
      </w:r>
      <w:r>
        <w:rPr>
          <w:rFonts w:hint="default" w:ascii="Times New Roman" w:hAnsi="Times New Roman" w:eastAsia="方正仿宋简体" w:cs="Times New Roman"/>
          <w:sz w:val="34"/>
          <w:szCs w:val="34"/>
        </w:rPr>
        <w:t>日</w:t>
      </w:r>
    </w:p>
    <w:sectPr>
      <w:footerReference r:id="rId4" w:type="default"/>
      <w:pgSz w:w="11906" w:h="16838"/>
      <w:pgMar w:top="2211" w:right="1531" w:bottom="1871" w:left="1531" w:header="851" w:footer="992" w:gutter="0"/>
      <w:paperSrc w:first="0" w:other="0"/>
      <w:pgNumType w:fmt="decimal"/>
      <w:cols w:space="72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right"/>
    </w:pPr>
    <w:r>
      <w:rPr>
        <w:rFonts w:ascii="Calibri" w:hAnsi="Calibri" w:eastAsia="宋体" w:cs="黑体"/>
        <w:kern w:val="2"/>
        <w:sz w:val="18"/>
        <w:szCs w:val="18"/>
        <w:lang w:val="en-US" w:eastAsia="zh-CN" w:bidi="ar-SA"/>
      </w:rPr>
      <w:pict>
        <v:shape id="文本框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5"/>
                  <w:jc w:val="right"/>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zh-CN"/>
                  </w:rPr>
                  <w:t>2</w:t>
                </w:r>
                <w:r>
                  <w:rPr>
                    <w:rFonts w:hint="default" w:ascii="Times New Roman" w:hAnsi="Times New Roman" w:cs="Times New Roman"/>
                    <w:sz w:val="24"/>
                    <w:szCs w:val="24"/>
                    <w:lang w:val="zh-CN"/>
                  </w:rPr>
                  <w:fldChar w:fldCharType="end"/>
                </w:r>
              </w:p>
            </w:txbxContent>
          </v:textbox>
        </v:shape>
      </w:pic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multilevel"/>
    <w:tmpl w:val="0000000A"/>
    <w:lvl w:ilvl="0" w:tentative="1">
      <w:start w:val="1"/>
      <w:numFmt w:val="japaneseCounting"/>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character" w:default="1" w:styleId="4">
    <w:name w:val="Default Paragraph Font"/>
  </w:style>
  <w:style w:type="paragraph" w:styleId="2">
    <w:name w:val="Body Text"/>
    <w:basedOn w:val="1"/>
    <w:link w:val="3"/>
    <w:pPr>
      <w:spacing w:after="120"/>
    </w:pPr>
    <w:rPr>
      <w:rFonts w:ascii="Calibri" w:hAnsi="Calibri" w:eastAsia="宋体" w:cs="Times New Roman"/>
    </w:rPr>
  </w:style>
  <w:style w:type="character" w:customStyle="1" w:styleId="3">
    <w:name w:val="正文文本 Char"/>
    <w:basedOn w:val="4"/>
    <w:link w:val="2"/>
    <w:semiHidden/>
    <w:rPr>
      <w:rFonts w:ascii="Calibri" w:hAnsi="Calibri" w:eastAsia="宋体" w:cs="Times New Roman"/>
    </w:rPr>
  </w:style>
  <w:style w:type="paragraph" w:styleId="5">
    <w:name w:val="footer"/>
    <w:basedOn w:val="1"/>
    <w:link w:val="6"/>
    <w:pPr>
      <w:tabs>
        <w:tab w:val="center" w:pos="4153"/>
        <w:tab w:val="right" w:pos="8306"/>
      </w:tabs>
      <w:snapToGrid w:val="0"/>
      <w:jc w:val="left"/>
    </w:pPr>
    <w:rPr>
      <w:sz w:val="18"/>
      <w:szCs w:val="18"/>
    </w:rPr>
  </w:style>
  <w:style w:type="character" w:customStyle="1" w:styleId="6">
    <w:name w:val="页脚 Char"/>
    <w:basedOn w:val="4"/>
    <w:link w:val="5"/>
    <w:semiHidden/>
    <w:rPr>
      <w:sz w:val="18"/>
      <w:szCs w:val="18"/>
    </w:rPr>
  </w:style>
  <w:style w:type="paragraph" w:styleId="7">
    <w:name w:val="header"/>
    <w:basedOn w:val="1"/>
    <w:link w:val="8"/>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4"/>
    <w:link w:val="7"/>
    <w:semiHidden/>
    <w:rPr>
      <w:sz w:val="18"/>
      <w:szCs w:val="18"/>
    </w:rPr>
  </w:style>
  <w:style w:type="paragraph" w:customStyle="1" w:styleId="9">
    <w:name w:val="List Paragraph"/>
    <w:basedOn w:val="1"/>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11</Pages>
  <Words>815</Words>
  <Characters>4647</Characters>
  <Lines>38</Lines>
  <Paragraphs>10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2025-10-22T13:31:00Z</dcterms:created>
  <dc:creator>USER-</dc:creator>
  <cp:lastPrinted>2025-10-24T09:37:00Z</cp:lastPrinted>
  <dcterms:modified xsi:type="dcterms:W3CDTF">2025-12-05T15:18:45Z</dcterms:modified>
  <dc:title>USER-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