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val="0"/>
        <w:snapToGrid w:val="0"/>
        <w:spacing w:before="0" w:after="0" w:line="579" w:lineRule="exact"/>
        <w:ind w:right="0"/>
        <w:jc w:val="center"/>
        <w:textAlignment w:val="auto"/>
        <w:outlineLvl w:val="9"/>
        <w:rPr>
          <w:rFonts w:hint="eastAsia" w:ascii="方正小标宋简体" w:hAnsi="方正小标宋简体" w:eastAsia="方正小标宋简体" w:cs="方正小标宋简体"/>
          <w:bCs/>
          <w:color w:val="auto"/>
          <w:kern w:val="44"/>
          <w:sz w:val="44"/>
          <w:szCs w:val="44"/>
          <w:highlight w:val="none"/>
        </w:rPr>
      </w:pPr>
      <w:r>
        <w:rPr>
          <w:rFonts w:hint="eastAsia" w:ascii="方正小标宋简体" w:hAnsi="方正小标宋简体" w:eastAsia="方正小标宋简体" w:cs="方正小标宋简体"/>
          <w:bCs/>
          <w:color w:val="auto"/>
          <w:kern w:val="44"/>
          <w:sz w:val="44"/>
          <w:szCs w:val="44"/>
          <w:highlight w:val="none"/>
        </w:rPr>
        <w:t>中共丹东市水务局党组关于市委巡察</w:t>
      </w:r>
    </w:p>
    <w:p>
      <w:pPr>
        <w:wordWrap/>
        <w:adjustRightInd w:val="0"/>
        <w:snapToGrid w:val="0"/>
        <w:spacing w:before="0" w:after="0" w:line="579" w:lineRule="exact"/>
        <w:ind w:right="0"/>
        <w:jc w:val="center"/>
        <w:textAlignment w:val="auto"/>
        <w:outlineLvl w:val="9"/>
        <w:rPr>
          <w:rFonts w:hint="eastAsia" w:ascii="方正小标宋简体" w:hAnsi="方正小标宋简体" w:eastAsia="方正小标宋简体" w:cs="方正小标宋简体"/>
          <w:bCs/>
          <w:color w:val="auto"/>
          <w:kern w:val="44"/>
          <w:sz w:val="44"/>
          <w:szCs w:val="44"/>
          <w:highlight w:val="none"/>
        </w:rPr>
      </w:pPr>
      <w:r>
        <w:rPr>
          <w:rFonts w:hint="eastAsia" w:ascii="方正小标宋简体" w:hAnsi="方正小标宋简体" w:eastAsia="方正小标宋简体" w:cs="方正小标宋简体"/>
          <w:bCs/>
          <w:color w:val="auto"/>
          <w:kern w:val="44"/>
          <w:sz w:val="44"/>
          <w:szCs w:val="44"/>
          <w:highlight w:val="none"/>
        </w:rPr>
        <w:t>整改落实进展情况的通报</w:t>
      </w:r>
    </w:p>
    <w:p>
      <w:pPr>
        <w:wordWrap/>
        <w:spacing w:before="0" w:after="0" w:line="579" w:lineRule="exact"/>
        <w:ind w:right="0"/>
        <w:jc w:val="both"/>
        <w:textAlignment w:val="auto"/>
        <w:outlineLvl w:val="9"/>
        <w:rPr>
          <w:rFonts w:hint="default" w:ascii="Times New Roman" w:hAnsi="Times New Roman" w:eastAsia="方正仿宋简体" w:cs="Times New Roman"/>
          <w:color w:val="auto"/>
          <w:sz w:val="34"/>
          <w:szCs w:val="34"/>
          <w:highlight w:val="none"/>
        </w:rPr>
      </w:pP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color w:val="auto"/>
          <w:sz w:val="34"/>
          <w:szCs w:val="34"/>
          <w:highlight w:val="none"/>
        </w:rPr>
        <w:t>根据市委和市委巡察工作领导小组统一部署，2024年9月30日至12月30日，市委第四巡察组对市水务局党组开展了巡察。2025年2月18日，市委巡察组向市水务局党组反馈了巡察意见。按照《中国共产党巡视工作条例》有关要求，现将巡察整改情况予以公布。</w:t>
      </w:r>
    </w:p>
    <w:p>
      <w:pPr>
        <w:widowControl/>
        <w:numPr>
          <w:ilvl w:val="0"/>
          <w:numId w:val="1"/>
        </w:numPr>
        <w:wordWrap/>
        <w:spacing w:before="0" w:after="0" w:line="579" w:lineRule="exact"/>
        <w:ind w:right="0"/>
        <w:jc w:val="both"/>
        <w:textAlignment w:val="auto"/>
        <w:outlineLvl w:val="9"/>
        <w:rPr>
          <w:rFonts w:hint="eastAsia" w:ascii="黑体" w:hAnsi="黑体" w:eastAsia="黑体" w:cs="黑体"/>
          <w:color w:val="auto"/>
          <w:sz w:val="34"/>
          <w:szCs w:val="34"/>
          <w:highlight w:val="none"/>
        </w:rPr>
      </w:pPr>
      <w:r>
        <w:rPr>
          <w:rFonts w:hint="eastAsia" w:ascii="黑体" w:hAnsi="黑体" w:eastAsia="黑体" w:cs="黑体"/>
          <w:color w:val="auto"/>
          <w:sz w:val="34"/>
          <w:szCs w:val="34"/>
          <w:highlight w:val="none"/>
        </w:rPr>
        <w:t>领导班子履行主体责任情况</w:t>
      </w:r>
    </w:p>
    <w:p>
      <w:pPr>
        <w:widowControl/>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color w:val="auto"/>
          <w:sz w:val="34"/>
          <w:szCs w:val="34"/>
          <w:highlight w:val="none"/>
        </w:rPr>
        <w:t>市水务局党组坚决贯彻落实党中央决策部署和习近平总书记关于巡视工作的重要论述，认真对照巡察反馈意见，高标准高质量推进巡察整改。</w:t>
      </w:r>
    </w:p>
    <w:p>
      <w:pPr>
        <w:widowControl/>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（一）</w:t>
      </w:r>
      <w:r>
        <w:rPr>
          <w:rFonts w:hint="eastAsia" w:ascii="方正楷体简体" w:hAnsi="方正楷体简体" w:eastAsia="方正楷体简体" w:cs="方正楷体简体"/>
          <w:color w:val="auto"/>
          <w:sz w:val="34"/>
          <w:szCs w:val="34"/>
          <w:highlight w:val="none"/>
        </w:rPr>
        <w:t>主要负责同志高度重视，坚定不移把“两个维护”贯穿巡察整改工作始终。</w:t>
      </w:r>
      <w:r>
        <w:rPr>
          <w:rFonts w:hint="default" w:ascii="Times New Roman" w:hAnsi="Times New Roman" w:eastAsia="方正仿宋简体" w:cs="Times New Roman"/>
          <w:color w:val="auto"/>
          <w:sz w:val="34"/>
          <w:szCs w:val="34"/>
          <w:highlight w:val="none"/>
        </w:rPr>
        <w:t>市水务局主要负责同志高度重视巡察整改工作，将巡察整改工作作为践行 “两个维护” 的具体行动，始终放在突出位置抓紧抓实。坚持亲自部署、亲自过问、亲自协调，多次主持召开党组会议研究部署巡察整改工作，对整改措施等关键环节逐一审核把关，确保整改方向不偏、力度不减。</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（二）</w:t>
      </w:r>
      <w:r>
        <w:rPr>
          <w:rFonts w:hint="default" w:ascii="方正楷体简体" w:hAnsi="方正楷体简体" w:eastAsia="方正楷体简体" w:cs="方正楷体简体"/>
          <w:color w:val="auto"/>
          <w:sz w:val="34"/>
          <w:szCs w:val="34"/>
          <w:highlight w:val="none"/>
          <w:lang w:eastAsia="zh-CN"/>
        </w:rPr>
        <w:t>提高政治站位，加强理论学习，扛牢巡察整改主体责任。</w:t>
      </w:r>
      <w:r>
        <w:rPr>
          <w:rFonts w:hint="default" w:ascii="Times New Roman" w:hAnsi="Times New Roman" w:eastAsia="方正仿宋简体" w:cs="Times New Roman"/>
          <w:color w:val="auto"/>
          <w:sz w:val="34"/>
          <w:szCs w:val="34"/>
          <w:highlight w:val="none"/>
        </w:rPr>
        <w:t>市水务局党组始终坚持从政治全局高度看待巡察整改工作，以强烈的责任担当扛牢巡察整改主体责任。带头强化理论武装，系统学习中央及省市委关于巡视巡察整改部署要求，特别是习近平总书记关于巡视整改工作重要论述等内容</w:t>
      </w:r>
      <w:r>
        <w:rPr>
          <w:rFonts w:hint="default" w:ascii="Times New Roman" w:hAnsi="Times New Roman" w:eastAsia="方正仿宋简体" w:cs="Times New Roman"/>
          <w:bCs/>
          <w:color w:val="auto"/>
          <w:sz w:val="34"/>
          <w:szCs w:val="34"/>
          <w:highlight w:val="none"/>
        </w:rPr>
        <w:t>，</w:t>
      </w:r>
      <w:r>
        <w:rPr>
          <w:rFonts w:hint="default" w:ascii="Times New Roman" w:hAnsi="Times New Roman" w:eastAsia="方正仿宋简体" w:cs="Times New Roman"/>
          <w:color w:val="auto"/>
          <w:sz w:val="34"/>
          <w:szCs w:val="34"/>
          <w:highlight w:val="none"/>
        </w:rPr>
        <w:t>深刻领会巡察整改对于推动全面从严治党向纵深发展、促进水务系统高质量发展的重大意义。</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（三）</w:t>
      </w:r>
      <w:r>
        <w:rPr>
          <w:rFonts w:hint="default" w:ascii="方正楷体简体" w:hAnsi="方正楷体简体" w:eastAsia="方正楷体简体" w:cs="方正楷体简体"/>
          <w:color w:val="auto"/>
          <w:sz w:val="34"/>
          <w:szCs w:val="34"/>
          <w:highlight w:val="none"/>
          <w:lang w:eastAsia="zh-CN"/>
        </w:rPr>
        <w:t>坚持问题导向，力求精准施策，认真制定巡察整改方案。</w:t>
      </w:r>
      <w:r>
        <w:rPr>
          <w:rFonts w:hint="default" w:ascii="Times New Roman" w:hAnsi="Times New Roman" w:eastAsia="方正仿宋简体" w:cs="Times New Roman"/>
          <w:color w:val="auto"/>
          <w:sz w:val="34"/>
          <w:szCs w:val="34"/>
          <w:highlight w:val="none"/>
        </w:rPr>
        <w:t>召开巡察整改专题民主生活会，班子成员主动认领问题，明确整改责任，细化形成78条整改措施。针对巡察指出的问题，局党组召开专题会议研究制定整改落实方案及台账，做到任务到人、责任到岗、要求到位。</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bCs/>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（四）</w:t>
      </w:r>
      <w:r>
        <w:rPr>
          <w:rFonts w:hint="default" w:ascii="方正楷体简体" w:hAnsi="方正楷体简体" w:eastAsia="方正楷体简体" w:cs="方正楷体简体"/>
          <w:color w:val="auto"/>
          <w:sz w:val="34"/>
          <w:szCs w:val="34"/>
          <w:highlight w:val="none"/>
          <w:lang w:eastAsia="zh-CN"/>
        </w:rPr>
        <w:t>坚持完善机制</w:t>
      </w:r>
      <w:r>
        <w:rPr>
          <w:rFonts w:hint="default" w:ascii="方正楷体简体" w:hAnsi="方正楷体简体" w:eastAsia="方正楷体简体" w:cs="方正楷体简体"/>
          <w:color w:val="auto"/>
          <w:sz w:val="34"/>
          <w:szCs w:val="34"/>
          <w:highlight w:val="none"/>
          <w:lang w:val="en-US" w:eastAsia="zh-CN"/>
        </w:rPr>
        <w:t>,</w:t>
      </w:r>
      <w:r>
        <w:rPr>
          <w:rFonts w:hint="default" w:ascii="方正楷体简体" w:hAnsi="方正楷体简体" w:eastAsia="方正楷体简体" w:cs="方正楷体简体"/>
          <w:color w:val="auto"/>
          <w:sz w:val="34"/>
          <w:szCs w:val="34"/>
          <w:highlight w:val="none"/>
          <w:lang w:eastAsia="zh-CN"/>
        </w:rPr>
        <w:t>加强统筹调度，形成巡察整改工作合力。</w:t>
      </w:r>
      <w:r>
        <w:rPr>
          <w:rFonts w:hint="default" w:ascii="Times New Roman" w:hAnsi="Times New Roman" w:eastAsia="方正仿宋简体" w:cs="Times New Roman"/>
          <w:color w:val="auto"/>
          <w:sz w:val="34"/>
          <w:szCs w:val="34"/>
          <w:highlight w:val="none"/>
        </w:rPr>
        <w:t>成立巡察整改工作领导小组</w:t>
      </w:r>
      <w:r>
        <w:rPr>
          <w:rFonts w:hint="default" w:ascii="Times New Roman" w:hAnsi="Times New Roman" w:eastAsia="方正仿宋简体" w:cs="Times New Roman"/>
          <w:bCs/>
          <w:color w:val="auto"/>
          <w:sz w:val="34"/>
          <w:szCs w:val="34"/>
          <w:highlight w:val="none"/>
        </w:rPr>
        <w:t>，制定《丹东市大中型水库移民后期扶持人口动态管理办法》等5项制度，着力把巡察整改融入日常工作，充分发挥巡察标本兼治战略作用。</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bCs/>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（五）</w:t>
      </w:r>
      <w:r>
        <w:rPr>
          <w:rFonts w:hint="default" w:ascii="方正楷体简体" w:hAnsi="方正楷体简体" w:eastAsia="方正楷体简体" w:cs="方正楷体简体"/>
          <w:color w:val="auto"/>
          <w:sz w:val="34"/>
          <w:szCs w:val="34"/>
          <w:highlight w:val="none"/>
          <w:lang w:eastAsia="zh-CN"/>
        </w:rPr>
        <w:t>紧盯整改进度</w:t>
      </w:r>
      <w:r>
        <w:rPr>
          <w:rFonts w:hint="default" w:ascii="方正楷体简体" w:hAnsi="方正楷体简体" w:eastAsia="方正楷体简体" w:cs="方正楷体简体"/>
          <w:color w:val="auto"/>
          <w:sz w:val="34"/>
          <w:szCs w:val="34"/>
          <w:highlight w:val="none"/>
          <w:lang w:val="en-US" w:eastAsia="zh-CN"/>
        </w:rPr>
        <w:t>,</w:t>
      </w:r>
      <w:r>
        <w:rPr>
          <w:rFonts w:hint="default" w:ascii="方正楷体简体" w:hAnsi="方正楷体简体" w:eastAsia="方正楷体简体" w:cs="方正楷体简体"/>
          <w:color w:val="auto"/>
          <w:sz w:val="34"/>
          <w:szCs w:val="34"/>
          <w:highlight w:val="none"/>
          <w:lang w:eastAsia="zh-CN"/>
        </w:rPr>
        <w:t>严把整改质量，确保巡察整改扎实有效。</w:t>
      </w:r>
      <w:r>
        <w:rPr>
          <w:rFonts w:hint="default" w:ascii="Times New Roman" w:hAnsi="Times New Roman" w:eastAsia="方正仿宋简体" w:cs="Times New Roman"/>
          <w:bCs/>
          <w:color w:val="auto"/>
          <w:sz w:val="34"/>
          <w:szCs w:val="34"/>
          <w:highlight w:val="none"/>
        </w:rPr>
        <w:t>集中整改期召开4次巡察整改调度会，查找推进堵点痛点问题。对反馈问题特别是书记点人点事问题，严格落实整改，推动具体问题集中改、共性问题面上改、行业问题专项改。</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黑体" w:hAnsi="黑体" w:eastAsia="黑体" w:cs="黑体"/>
          <w:color w:val="auto"/>
          <w:sz w:val="34"/>
          <w:szCs w:val="34"/>
          <w:highlight w:val="none"/>
        </w:rPr>
        <w:t>二、巡察整改落实情况</w:t>
      </w:r>
      <w:r>
        <w:rPr>
          <w:rFonts w:hint="default" w:ascii="Times New Roman" w:hAnsi="Times New Roman" w:eastAsia="方正仿宋简体" w:cs="Times New Roman"/>
          <w:color w:val="auto"/>
          <w:sz w:val="34"/>
          <w:szCs w:val="34"/>
          <w:highlight w:val="none"/>
        </w:rPr>
        <w:cr/>
      </w:r>
      <w:r>
        <w:rPr>
          <w:rFonts w:hint="default" w:ascii="方正楷体简体" w:hAnsi="方正楷体简体" w:eastAsia="方正楷体简体" w:cs="方正楷体简体"/>
          <w:b w:val="0"/>
          <w:bCs w:val="0"/>
          <w:color w:val="auto"/>
          <w:sz w:val="34"/>
          <w:szCs w:val="34"/>
          <w:highlight w:val="none"/>
        </w:rPr>
        <w:t xml:space="preserve">   （一）学习贯彻习近平总书记关于治水重要论述不深入，推动水务事业高质量发展有差距</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kern w:val="0"/>
          <w:sz w:val="34"/>
          <w:szCs w:val="34"/>
          <w:highlight w:val="none"/>
        </w:rPr>
      </w:pPr>
      <w:r>
        <w:rPr>
          <w:rFonts w:hint="default" w:ascii="Times New Roman" w:hAnsi="Times New Roman" w:eastAsia="方正仿宋简体" w:cs="Times New Roman"/>
          <w:b/>
          <w:bCs/>
          <w:color w:val="auto"/>
          <w:sz w:val="34"/>
          <w:szCs w:val="34"/>
          <w:highlight w:val="none"/>
        </w:rPr>
        <w:t>在学习贯彻不到位方面。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局党组于2025年8月开展理论学习中心组专题学习习近平总书记关于治水重要论述等内容，撰写研讨材料4篇，提出19条工作举措。</w:t>
      </w:r>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kern w:val="0"/>
          <w:sz w:val="34"/>
          <w:szCs w:val="34"/>
          <w:highlight w:val="none"/>
        </w:rPr>
        <w:t>3月17日，</w:t>
      </w:r>
      <w:r>
        <w:rPr>
          <w:rFonts w:hint="default" w:ascii="Times New Roman" w:hAnsi="Times New Roman" w:eastAsia="方正仿宋简体" w:cs="Times New Roman"/>
          <w:color w:val="auto"/>
          <w:kern w:val="0"/>
          <w:sz w:val="34"/>
          <w:szCs w:val="34"/>
          <w:highlight w:val="none"/>
          <w:lang w:eastAsia="en-US"/>
        </w:rPr>
        <w:t>市水务局副局长</w:t>
      </w:r>
      <w:r>
        <w:rPr>
          <w:rFonts w:hint="default" w:ascii="Times New Roman" w:hAnsi="Times New Roman" w:eastAsia="方正仿宋简体" w:cs="Times New Roman"/>
          <w:color w:val="auto"/>
          <w:kern w:val="0"/>
          <w:sz w:val="34"/>
          <w:szCs w:val="34"/>
          <w:highlight w:val="none"/>
        </w:rPr>
        <w:t>带队</w:t>
      </w:r>
      <w:r>
        <w:rPr>
          <w:rFonts w:hint="default" w:ascii="Times New Roman" w:hAnsi="Times New Roman" w:eastAsia="方正仿宋简体" w:cs="Times New Roman"/>
          <w:color w:val="auto"/>
          <w:kern w:val="0"/>
          <w:sz w:val="34"/>
          <w:szCs w:val="34"/>
          <w:highlight w:val="none"/>
          <w:lang w:eastAsia="en-US"/>
        </w:rPr>
        <w:t>到国网太平湾发电厂集控中心，</w:t>
      </w:r>
      <w:r>
        <w:rPr>
          <w:rFonts w:hint="default" w:ascii="Times New Roman" w:hAnsi="Times New Roman" w:eastAsia="方正仿宋简体" w:cs="Times New Roman"/>
          <w:color w:val="auto"/>
          <w:kern w:val="0"/>
          <w:sz w:val="34"/>
          <w:szCs w:val="34"/>
          <w:highlight w:val="none"/>
        </w:rPr>
        <w:t>双方就鸭绿江流域</w:t>
      </w:r>
      <w:r>
        <w:rPr>
          <w:rFonts w:hint="default" w:ascii="Times New Roman" w:hAnsi="Times New Roman" w:eastAsia="方正仿宋简体" w:cs="Times New Roman"/>
          <w:color w:val="auto"/>
          <w:kern w:val="0"/>
          <w:sz w:val="34"/>
          <w:szCs w:val="34"/>
          <w:highlight w:val="none"/>
          <w:lang w:eastAsia="en-US"/>
        </w:rPr>
        <w:t>数据信息共享</w:t>
      </w:r>
      <w:r>
        <w:rPr>
          <w:rFonts w:hint="default" w:ascii="Times New Roman" w:hAnsi="Times New Roman" w:eastAsia="方正仿宋简体" w:cs="Times New Roman"/>
          <w:color w:val="auto"/>
          <w:kern w:val="0"/>
          <w:sz w:val="34"/>
          <w:szCs w:val="34"/>
          <w:highlight w:val="none"/>
        </w:rPr>
        <w:t>达成一致意见，建立完善鸭绿江流域联防联控工作机制；4月7日，分管市领导及市水务局局长带队，赴吉林通化开展实地调研，建立黑吉辽蒙四省区防汛联防联控工作群，畅通上游沟通联系机制，推动流域联防联控资源共享。</w:t>
      </w:r>
    </w:p>
    <w:p>
      <w:pPr>
        <w:wordWrap/>
        <w:spacing w:before="0" w:after="0" w:line="579" w:lineRule="exact"/>
        <w:ind w:right="0" w:firstLine="643" w:firstLineChars="200"/>
        <w:jc w:val="both"/>
        <w:textAlignment w:val="auto"/>
        <w:outlineLvl w:val="9"/>
        <w:rPr>
          <w:rFonts w:hint="default" w:ascii="方正楷体简体" w:hAnsi="方正楷体简体" w:eastAsia="方正楷体简体" w:cs="方正楷体简体"/>
          <w:b w:val="0"/>
          <w:bCs w:val="0"/>
          <w:color w:val="auto"/>
          <w:sz w:val="34"/>
          <w:szCs w:val="34"/>
          <w:highlight w:val="none"/>
        </w:rPr>
      </w:pPr>
      <w:r>
        <w:rPr>
          <w:rFonts w:hint="default" w:ascii="方正楷体简体" w:hAnsi="方正楷体简体" w:eastAsia="方正楷体简体" w:cs="方正楷体简体"/>
          <w:b w:val="0"/>
          <w:bCs w:val="0"/>
          <w:color w:val="auto"/>
          <w:sz w:val="34"/>
          <w:szCs w:val="34"/>
          <w:highlight w:val="none"/>
        </w:rPr>
        <w:t>（二）保障农村饮水安全有欠缺，安全底线守得不牢</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1.在解决农村吃水难问题不够有力方面。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通过项目实施等措施解决分时供水问题。投入资金469万元，解决39处问题工程，解决11个乡镇、28个村、3.08万人分时供水问题，其中东港市小甸子镇西上坡村列入东港市中西部城乡供水一体化工程，2026年将实现24小时供水。</w:t>
      </w:r>
      <w:bookmarkStart w:id="0" w:name="OLE_LINK5"/>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推动维修养护等项目解决季节性缺水及老化失修问题。投入资金1225万元，解决196处问题工程，解决41个乡镇、112个村、3.54万人季节性缺水、管道老化等问题。</w:t>
      </w:r>
      <w:bookmarkEnd w:id="0"/>
      <w:r>
        <w:rPr>
          <w:rFonts w:hint="default" w:ascii="黑体" w:hAnsi="黑体" w:eastAsia="黑体" w:cs="黑体"/>
          <w:color w:val="auto"/>
          <w:sz w:val="34"/>
          <w:szCs w:val="34"/>
          <w:highlight w:val="none"/>
        </w:rPr>
        <w:t>三是</w:t>
      </w:r>
      <w:r>
        <w:rPr>
          <w:rFonts w:hint="default" w:ascii="Times New Roman" w:hAnsi="Times New Roman" w:eastAsia="方正仿宋简体" w:cs="Times New Roman"/>
          <w:color w:val="auto"/>
          <w:sz w:val="34"/>
          <w:szCs w:val="34"/>
          <w:highlight w:val="none"/>
        </w:rPr>
        <w:t>积极落实人大政协代表提出的建议。对2021-2024年市人大、政协提出的意见建议进行答复并落实，代表均表示满意。</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2.在农村饮水工程建设力度逐年减弱方面。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争取到位2025年农村饮水维修养护资金972.5万元。维修养护工程82处，水质提升23处，受益人口7.34万人。</w:t>
      </w:r>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争取到东港市中西部城乡供水一体化项目等两项工程，总投资39982万元，我局将持续跟踪调度资金落实。</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3.在规模化供水覆盖率低方面</w:t>
      </w:r>
      <w:bookmarkStart w:id="1" w:name="OLE_LINK3"/>
      <w:r>
        <w:rPr>
          <w:rFonts w:hint="default" w:ascii="Times New Roman" w:hAnsi="Times New Roman" w:eastAsia="方正仿宋简体" w:cs="Times New Roman"/>
          <w:b/>
          <w:bCs/>
          <w:color w:val="auto"/>
          <w:sz w:val="34"/>
          <w:szCs w:val="34"/>
          <w:highlight w:val="none"/>
        </w:rPr>
        <w:t>。</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多渠道筹集资金，提升农村人口规模化供水工程覆盖率。省水利厅下达东港市中西部城乡供水一体化项目等两处饮水工程，规模化人口比率提升至29.25%，工程建成后，规模化人口比率可提升至36%以上。</w:t>
      </w:r>
      <w:bookmarkEnd w:id="1"/>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推进农村饮水工程净化消毒设施做到“应配尽配”。将凤城市10处未配备消毒设施的工程配齐；要求新建农村饮水工程的净化消毒设施必须达到“应配尽配”。</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4.在标准化建设管理程度不高方面。</w:t>
      </w:r>
      <w:r>
        <w:rPr>
          <w:rFonts w:hint="default" w:ascii="Times New Roman" w:hAnsi="Times New Roman" w:eastAsia="方正仿宋简体" w:cs="Times New Roman"/>
          <w:color w:val="auto"/>
          <w:sz w:val="34"/>
          <w:szCs w:val="34"/>
          <w:highlight w:val="none"/>
        </w:rPr>
        <w:t>指导县（市）区推进农村供水城乡一体化与规模化工程，提升供水工程专业规范化管理水平。对不具备规模化条件的地区，通过更新改造老旧管网及设施设备，降低漏损率。目前，全市4055处集中式供水工程中，评分达80分的工程增至690处，占比从13.2%提至17%。</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5.在水质检测监督不严方面。</w:t>
      </w:r>
      <w:r>
        <w:rPr>
          <w:rFonts w:hint="default" w:ascii="Times New Roman" w:hAnsi="Times New Roman" w:eastAsia="方正仿宋简体" w:cs="Times New Roman"/>
          <w:color w:val="auto"/>
          <w:sz w:val="34"/>
          <w:szCs w:val="34"/>
          <w:highlight w:val="none"/>
        </w:rPr>
        <w:t>要求县（市）区对检测机构进行定期检查和不定期抽查，督促规范进行水质检测。今年提前开展市本级水质检测，检测水样34个全部合格；要求各地参考《丹东市农村供水水质检测指标及频次实施细则》检测，巡检做到全覆盖，所有集中供水工程每年检测1次；自检要按不同水源要求进行每月或每日检测；对水质超标地区，要第一时间进行消毒净化等技术处理，再经复检，复检合格后工程予以使用。</w:t>
      </w:r>
    </w:p>
    <w:p>
      <w:pPr>
        <w:wordWrap/>
        <w:spacing w:before="0" w:after="0" w:line="579" w:lineRule="exact"/>
        <w:ind w:right="0" w:firstLine="643" w:firstLineChars="200"/>
        <w:jc w:val="both"/>
        <w:textAlignment w:val="auto"/>
        <w:outlineLvl w:val="9"/>
        <w:rPr>
          <w:rFonts w:hint="default" w:ascii="方正楷体简体" w:hAnsi="方正楷体简体" w:eastAsia="方正楷体简体" w:cs="方正楷体简体"/>
          <w:b w:val="0"/>
          <w:bCs w:val="0"/>
          <w:color w:val="auto"/>
          <w:sz w:val="34"/>
          <w:szCs w:val="34"/>
          <w:highlight w:val="none"/>
        </w:rPr>
      </w:pPr>
      <w:r>
        <w:rPr>
          <w:rFonts w:hint="default" w:ascii="方正楷体简体" w:hAnsi="方正楷体简体" w:eastAsia="方正楷体简体" w:cs="方正楷体简体"/>
          <w:b w:val="0"/>
          <w:bCs w:val="0"/>
          <w:color w:val="auto"/>
          <w:sz w:val="34"/>
          <w:szCs w:val="34"/>
          <w:highlight w:val="none"/>
        </w:rPr>
        <w:t>（三）推进节水型社会建设有短板，水资源集约利用率不高</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1.在工程运行管护不够方面。</w:t>
      </w:r>
      <w:bookmarkStart w:id="2" w:name="OLE_LINK6"/>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加强日常排查，发现问题及早解决。对于排查出的问题工程有25处已解决，剩余42处工程计划2026年全部解决。</w:t>
      </w:r>
      <w:bookmarkEnd w:id="2"/>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加强用水管理，减少跑冒滴漏现象发生。将计量设施配套作为新建改造工程的前提，新建农村饮水工程均设计计量设施配套。</w:t>
      </w:r>
    </w:p>
    <w:p>
      <w:pPr>
        <w:pStyle w:val="3"/>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2.在最严格水资源管理制度执行不力方面。</w:t>
      </w:r>
      <w:r>
        <w:rPr>
          <w:rFonts w:hint="default" w:ascii="Times New Roman" w:hAnsi="Times New Roman" w:eastAsia="方正仿宋简体" w:cs="Times New Roman"/>
          <w:color w:val="auto"/>
          <w:sz w:val="34"/>
          <w:szCs w:val="34"/>
          <w:highlight w:val="none"/>
        </w:rPr>
        <w:t>加强渠道建设，提高农田灌溉水有效利用系数。加大改造力度，推进新一轮东港灌区续建配套与现代改造可研审批；东港市水利机构清理渠道淤泥杂草，对渠道砼衬砌，减少灌溉用水成本；制定全年灌溉用水计划并下发到乡镇政府，按照计划进行用水管理。2024年东港灌区农田灌溉水有效利用系数为0.5209，较2023年增加0.09%。2024年丹东市农田灌溉水有效利用系数为0.5424满足目标要求。</w:t>
      </w:r>
    </w:p>
    <w:p>
      <w:pPr>
        <w:pStyle w:val="3"/>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3.在水费收缴率低方面。</w:t>
      </w:r>
      <w:r>
        <w:rPr>
          <w:rFonts w:hint="default" w:ascii="黑体" w:hAnsi="黑体" w:eastAsia="黑体" w:cs="黑体"/>
          <w:color w:val="auto"/>
          <w:kern w:val="2"/>
          <w:sz w:val="34"/>
          <w:szCs w:val="34"/>
          <w:highlight w:val="none"/>
          <w:lang w:val="en-US" w:eastAsia="zh-CN" w:bidi="ar-SA"/>
        </w:rPr>
        <w:t>一是</w:t>
      </w:r>
      <w:r>
        <w:rPr>
          <w:rFonts w:hint="default" w:ascii="Times New Roman" w:hAnsi="Times New Roman" w:eastAsia="方正仿宋简体" w:cs="Times New Roman"/>
          <w:color w:val="auto"/>
          <w:sz w:val="34"/>
          <w:szCs w:val="34"/>
          <w:highlight w:val="none"/>
        </w:rPr>
        <w:t>加强对县（市）区水费收缴指导督促。我市农村安装水表工程87处，未安装水表工程3968处，未安装处由98.7%降低至 97.8%。</w:t>
      </w:r>
      <w:r>
        <w:rPr>
          <w:rFonts w:hint="default" w:ascii="黑体" w:hAnsi="黑体" w:eastAsia="黑体" w:cs="黑体"/>
          <w:color w:val="auto"/>
          <w:kern w:val="2"/>
          <w:sz w:val="34"/>
          <w:szCs w:val="34"/>
          <w:highlight w:val="none"/>
          <w:lang w:val="en-US" w:eastAsia="zh-CN" w:bidi="ar-SA"/>
        </w:rPr>
        <w:t>二是</w:t>
      </w:r>
      <w:r>
        <w:rPr>
          <w:rFonts w:hint="default" w:ascii="Times New Roman" w:hAnsi="Times New Roman" w:eastAsia="方正仿宋简体" w:cs="Times New Roman"/>
          <w:color w:val="auto"/>
          <w:sz w:val="34"/>
          <w:szCs w:val="34"/>
          <w:highlight w:val="none"/>
        </w:rPr>
        <w:t>水费收缴实行多样化。我市集中供水工程4055处全部实现收费，收缴水费比例提升为100%。除用水户缴纳水费外，部分工程用水水费由工程所在乡镇政府或村委会承担</w:t>
      </w:r>
      <w:r>
        <w:rPr>
          <w:rFonts w:hint="default" w:ascii="黑体" w:hAnsi="黑体" w:eastAsia="黑体" w:cs="黑体"/>
          <w:color w:val="auto"/>
          <w:kern w:val="2"/>
          <w:sz w:val="34"/>
          <w:szCs w:val="34"/>
          <w:highlight w:val="none"/>
          <w:lang w:val="en-US" w:eastAsia="zh-CN" w:bidi="ar-SA"/>
        </w:rPr>
        <w:t>。三是</w:t>
      </w:r>
      <w:r>
        <w:rPr>
          <w:rFonts w:hint="default" w:ascii="Times New Roman" w:hAnsi="Times New Roman" w:eastAsia="方正仿宋简体" w:cs="Times New Roman"/>
          <w:color w:val="auto"/>
          <w:sz w:val="34"/>
          <w:szCs w:val="34"/>
          <w:highlight w:val="none"/>
        </w:rPr>
        <w:t>强化县（市）区水费收缴主体责任。县（市）区积极采取措施收缴水费，加强监督考核和宣传培训，安装水表，按表计费。</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4.在节水宣传形式单一，受众面窄方面。</w:t>
      </w:r>
      <w:r>
        <w:rPr>
          <w:rFonts w:hint="default" w:ascii="Times New Roman" w:hAnsi="Times New Roman" w:eastAsia="方正仿宋简体" w:cs="Times New Roman"/>
          <w:color w:val="auto"/>
          <w:sz w:val="34"/>
          <w:szCs w:val="34"/>
          <w:highlight w:val="none"/>
        </w:rPr>
        <w:t>组织“五进”节水宣传活动，全市节水宣传受众243153人，占全市总人口的比例从0.2%提升至10%，其中农村宣传受众15000人。积极利用新媒体开展线上宣传，利用《人民日报》《学习强国》等新媒体发布信息累积20余次，节水宣传效果显著提升。</w:t>
      </w:r>
    </w:p>
    <w:p>
      <w:pPr>
        <w:wordWrap/>
        <w:spacing w:before="0" w:after="0" w:line="579" w:lineRule="exact"/>
        <w:ind w:right="0" w:firstLine="643" w:firstLineChars="200"/>
        <w:jc w:val="both"/>
        <w:textAlignment w:val="auto"/>
        <w:outlineLvl w:val="9"/>
        <w:rPr>
          <w:rFonts w:hint="default" w:ascii="方正楷体简体" w:hAnsi="方正楷体简体" w:eastAsia="方正楷体简体" w:cs="方正楷体简体"/>
          <w:b w:val="0"/>
          <w:bCs w:val="0"/>
          <w:color w:val="auto"/>
          <w:sz w:val="34"/>
          <w:szCs w:val="34"/>
          <w:highlight w:val="none"/>
        </w:rPr>
      </w:pPr>
      <w:r>
        <w:rPr>
          <w:rFonts w:hint="default" w:ascii="方正楷体简体" w:hAnsi="方正楷体简体" w:eastAsia="方正楷体简体" w:cs="方正楷体简体"/>
          <w:b w:val="0"/>
          <w:bCs w:val="0"/>
          <w:color w:val="auto"/>
          <w:sz w:val="34"/>
          <w:szCs w:val="34"/>
          <w:highlight w:val="none"/>
        </w:rPr>
        <w:t>（四）水利工程建设管理有漏洞，水利发展资金使用不规范</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1.在水库隐患排查流于形式方面。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督促县（市）区核对工程隐患信息，对同一工程重复填报的问题要核实并整改到位；制定《丹东市水利安全生产事故隐患排查与治理制度》，每月25日前完成隐患数据统计，坚决杜绝重复隐患反复上报。</w:t>
      </w:r>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督促水库管理单位开展风险隐患自查，确保水库安全稳定运行；</w:t>
      </w:r>
      <w:r>
        <w:rPr>
          <w:rFonts w:hint="default" w:ascii="黑体" w:hAnsi="黑体" w:eastAsia="黑体" w:cs="黑体"/>
          <w:color w:val="auto"/>
          <w:sz w:val="34"/>
          <w:szCs w:val="34"/>
          <w:highlight w:val="none"/>
        </w:rPr>
        <w:t>三是</w:t>
      </w:r>
      <w:r>
        <w:rPr>
          <w:rFonts w:hint="default" w:ascii="Times New Roman" w:hAnsi="Times New Roman" w:eastAsia="方正仿宋简体" w:cs="Times New Roman"/>
          <w:color w:val="auto"/>
          <w:sz w:val="34"/>
          <w:szCs w:val="34"/>
          <w:highlight w:val="none"/>
        </w:rPr>
        <w:t>督促各地核对水库隐患信息，对存在隐患问题重复填报情况，分析问题成因，确保填报隐患问题整改到位。</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2.在工程从业人员资格审查把关不严方面。</w:t>
      </w:r>
      <w:r>
        <w:rPr>
          <w:rFonts w:hint="default" w:ascii="Times New Roman" w:hAnsi="Times New Roman" w:eastAsia="方正仿宋简体" w:cs="Times New Roman"/>
          <w:color w:val="auto"/>
          <w:sz w:val="34"/>
          <w:szCs w:val="34"/>
          <w:highlight w:val="none"/>
        </w:rPr>
        <w:t>责成凤城市水利局调查核实并对5家企业不良行为进行认定处理，不良行为为轻微等级，给予信用动态分值扣2分，扣分期限为6个月。相关企业涉及人员已及时调整。加强事中监管，要求关键岗位人员，核验其执业注册资格、社保缴纳证明等信息，确保身份真实、人证相符。加大对从业人员特别是评标专家、项目经理等同时在多个项目任职行为的监管力度，通过随机抽查、接受举报等多种方式，及时发现纠正违规兼职等行为。</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3.在水利建设资金拨付率低方面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向相关县（市）区政府及水利部门下发加快资金支付通知6次。目前，2021-2024年省以上资金支付率分别为82.3%、60%、47.8%、78%。</w:t>
      </w:r>
      <w:bookmarkStart w:id="3" w:name="OLE_LINK7"/>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建立《丹东市大中型水库移民后期扶持人口动态管理办法》等2条制度，有效提升移民人口管理效能、完善项目管理流程；目前全市移民资金支付15975.59万元，支付率73.4%</w:t>
      </w:r>
      <w:bookmarkEnd w:id="3"/>
      <w:r>
        <w:rPr>
          <w:rFonts w:hint="default" w:ascii="Times New Roman" w:hAnsi="Times New Roman" w:eastAsia="方正仿宋简体" w:cs="Times New Roman"/>
          <w:color w:val="auto"/>
          <w:sz w:val="34"/>
          <w:szCs w:val="34"/>
          <w:highlight w:val="none"/>
        </w:rPr>
        <w:t>。</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4.在资金使用监管不严格方面。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强化监督制约作用。开展2021-2024年政府采购工作情况自查36项，实现规范化法制化。</w:t>
      </w:r>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制定并严格执行《丹东市水利工程建设质量监督档案管理办法》，强化政采档案管理。</w:t>
      </w:r>
      <w:r>
        <w:rPr>
          <w:rFonts w:hint="default" w:ascii="黑体" w:hAnsi="黑体" w:eastAsia="黑体" w:cs="黑体"/>
          <w:color w:val="auto"/>
          <w:sz w:val="34"/>
          <w:szCs w:val="34"/>
          <w:highlight w:val="none"/>
        </w:rPr>
        <w:t>三是</w:t>
      </w:r>
      <w:r>
        <w:rPr>
          <w:rFonts w:hint="default" w:ascii="Times New Roman" w:hAnsi="Times New Roman" w:eastAsia="方正仿宋简体" w:cs="Times New Roman"/>
          <w:color w:val="auto"/>
          <w:sz w:val="34"/>
          <w:szCs w:val="34"/>
          <w:highlight w:val="none"/>
        </w:rPr>
        <w:t>加强对招标代理机构的监督管理，细化量化评分标准，确保工程项目采购的客观公正性。</w:t>
      </w:r>
    </w:p>
    <w:p>
      <w:pPr>
        <w:wordWrap/>
        <w:spacing w:before="0" w:after="0" w:line="579" w:lineRule="exact"/>
        <w:ind w:right="0" w:firstLine="643" w:firstLineChars="200"/>
        <w:jc w:val="both"/>
        <w:textAlignment w:val="auto"/>
        <w:outlineLvl w:val="9"/>
        <w:rPr>
          <w:rFonts w:hint="eastAsia" w:ascii="方正楷体简体" w:hAnsi="方正楷体简体" w:eastAsia="方正楷体简体" w:cs="方正楷体简体"/>
          <w:b w:val="0"/>
          <w:bCs w:val="0"/>
          <w:color w:val="auto"/>
          <w:sz w:val="34"/>
          <w:szCs w:val="34"/>
          <w:highlight w:val="none"/>
        </w:rPr>
      </w:pPr>
      <w:r>
        <w:rPr>
          <w:rFonts w:hint="eastAsia" w:ascii="方正楷体简体" w:hAnsi="方正楷体简体" w:eastAsia="方正楷体简体" w:cs="方正楷体简体"/>
          <w:b w:val="0"/>
          <w:bCs w:val="0"/>
          <w:color w:val="auto"/>
          <w:sz w:val="34"/>
          <w:szCs w:val="34"/>
          <w:highlight w:val="none"/>
        </w:rPr>
        <w:t>（五）河湖岸线监管不到位,“四乱”整治不明显</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 xml:space="preserve"> 1.在河长责任制落实有差距方面。</w:t>
      </w:r>
      <w:r>
        <w:rPr>
          <w:rFonts w:hint="default" w:ascii="Times New Roman" w:hAnsi="Times New Roman" w:eastAsia="方正仿宋简体" w:cs="Times New Roman"/>
          <w:color w:val="auto"/>
          <w:sz w:val="34"/>
          <w:szCs w:val="34"/>
          <w:highlight w:val="none"/>
        </w:rPr>
        <w:t>截至8月末村级河长平均巡河35次，年底能够实现每周定期巡河一次的目标；组织制定市《关于强化河湖长制工作的指导意见》，压实各级河湖长责任，规范县乡村级河湖长履职，真正守住基层河道的 “最后一公里”。</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b/>
          <w:bCs/>
          <w:color w:val="auto"/>
          <w:sz w:val="34"/>
          <w:szCs w:val="34"/>
          <w:highlight w:val="none"/>
        </w:rPr>
        <w:t>2.在河道垃圾乱堆乱放现象严重方面。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加强开展“河湖四乱”整治。2024年河湖“四乱”专项整治排查的84个问题和2025年暗访发现河湖垃圾161处，均已整改完成。</w:t>
      </w:r>
      <w:r>
        <w:rPr>
          <w:rFonts w:hint="default"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常态化清理河湖垃圾。目前累计清理河湖垃圾2.2万立方米，2288段大小河流，有477段存在倾倒垃圾现象，已由95.8%降至20.8%；联合市检察院开展暗访发现的河湖垃圾6处已及时清除。</w:t>
      </w:r>
    </w:p>
    <w:p>
      <w:pPr>
        <w:wordWrap/>
        <w:spacing w:before="0" w:after="0" w:line="579" w:lineRule="exact"/>
        <w:ind w:right="0" w:firstLine="643" w:firstLineChars="200"/>
        <w:jc w:val="both"/>
        <w:textAlignment w:val="auto"/>
        <w:outlineLvl w:val="9"/>
        <w:rPr>
          <w:rFonts w:hint="default" w:ascii="Times New Roman" w:hAnsi="Times New Roman" w:eastAsia="方正仿宋简体" w:cs="Times New Roman"/>
          <w:color w:val="auto"/>
          <w:sz w:val="34"/>
          <w:szCs w:val="34"/>
          <w:highlight w:val="none"/>
        </w:rPr>
      </w:pPr>
      <w:bookmarkStart w:id="4" w:name="OLE_LINK4"/>
      <w:r>
        <w:rPr>
          <w:rFonts w:hint="default" w:ascii="Times New Roman" w:hAnsi="Times New Roman" w:eastAsia="方正仿宋简体" w:cs="Times New Roman"/>
          <w:b/>
          <w:bCs/>
          <w:color w:val="auto"/>
          <w:sz w:val="34"/>
          <w:szCs w:val="34"/>
          <w:highlight w:val="none"/>
        </w:rPr>
        <w:t>3.在执法监督质效不高方面。</w:t>
      </w:r>
      <w:r>
        <w:rPr>
          <w:rFonts w:hint="default" w:ascii="黑体" w:hAnsi="黑体" w:eastAsia="黑体" w:cs="黑体"/>
          <w:color w:val="auto"/>
          <w:sz w:val="34"/>
          <w:szCs w:val="34"/>
          <w:highlight w:val="none"/>
        </w:rPr>
        <w:t>一是</w:t>
      </w:r>
      <w:r>
        <w:rPr>
          <w:rFonts w:hint="default" w:ascii="Times New Roman" w:hAnsi="Times New Roman" w:eastAsia="方正仿宋简体" w:cs="Times New Roman"/>
          <w:color w:val="auto"/>
          <w:sz w:val="34"/>
          <w:szCs w:val="34"/>
          <w:highlight w:val="none"/>
        </w:rPr>
        <w:t>采取线上线下结合方式开展执法培训。今年执法人员线上培训510学时，线下培训2次，学习水行政处罚案例9个；成立水事投诉举报问题受理中心，处理线索9条；严格落实《丹东市水务局行政执法全过程记录制度》，健全水行政执法音像记录事项清单。</w:t>
      </w:r>
      <w:bookmarkEnd w:id="4"/>
      <w:r>
        <w:rPr>
          <w:rFonts w:hint="eastAsia" w:ascii="黑体" w:hAnsi="黑体" w:eastAsia="黑体" w:cs="黑体"/>
          <w:color w:val="auto"/>
          <w:sz w:val="34"/>
          <w:szCs w:val="34"/>
          <w:highlight w:val="none"/>
        </w:rPr>
        <w:t>二是</w:t>
      </w:r>
      <w:r>
        <w:rPr>
          <w:rFonts w:hint="default" w:ascii="Times New Roman" w:hAnsi="Times New Roman" w:eastAsia="方正仿宋简体" w:cs="Times New Roman"/>
          <w:color w:val="auto"/>
          <w:sz w:val="34"/>
          <w:szCs w:val="34"/>
          <w:highlight w:val="none"/>
        </w:rPr>
        <w:t>加强举报核查能力。制定《水事违法案件查处工作流程图》，确保线索调查工作落到实处。</w:t>
      </w:r>
    </w:p>
    <w:p>
      <w:pPr>
        <w:wordWrap/>
        <w:spacing w:before="0" w:after="0" w:line="579" w:lineRule="exact"/>
        <w:ind w:right="0" w:firstLine="643" w:firstLineChars="200"/>
        <w:jc w:val="both"/>
        <w:textAlignment w:val="auto"/>
        <w:outlineLvl w:val="9"/>
        <w:rPr>
          <w:rFonts w:hint="default" w:ascii="黑体" w:hAnsi="黑体" w:eastAsia="黑体" w:cs="黑体"/>
          <w:color w:val="auto"/>
          <w:sz w:val="34"/>
          <w:szCs w:val="34"/>
          <w:highlight w:val="none"/>
        </w:rPr>
      </w:pPr>
      <w:r>
        <w:rPr>
          <w:rFonts w:hint="default" w:ascii="黑体" w:hAnsi="黑体" w:eastAsia="黑体" w:cs="黑体"/>
          <w:color w:val="auto"/>
          <w:sz w:val="34"/>
          <w:szCs w:val="34"/>
          <w:highlight w:val="none"/>
        </w:rPr>
        <w:t>三、下一步工作打算及计划</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方正楷体简体" w:hAnsi="方正楷体简体" w:eastAsia="方正楷体简体" w:cs="方正楷体简体"/>
          <w:color w:val="auto"/>
          <w:sz w:val="34"/>
          <w:szCs w:val="34"/>
          <w:highlight w:val="none"/>
          <w:lang w:eastAsia="zh-CN"/>
        </w:rPr>
        <w:t>（一）压实整改责任，推进巡察反馈问题清仓见底。</w:t>
      </w:r>
      <w:r>
        <w:rPr>
          <w:rFonts w:hint="default" w:ascii="Times New Roman" w:hAnsi="Times New Roman" w:eastAsia="方正仿宋简体" w:cs="Times New Roman"/>
          <w:color w:val="auto"/>
          <w:sz w:val="34"/>
          <w:szCs w:val="34"/>
          <w:highlight w:val="none"/>
        </w:rPr>
        <w:t>市水务局党组按照巡察反馈要求，持续压实主体责任，已整改完成的问题，巩固整改成果，坚决防止问题反弹回潮；对取得阶段性成果、需长期推进的整改任务，加强督促检查，确保任务、责任和进度三落实。</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（二）</w:t>
      </w:r>
      <w:r>
        <w:rPr>
          <w:rFonts w:hint="default" w:ascii="方正楷体简体" w:hAnsi="方正楷体简体" w:eastAsia="方正楷体简体" w:cs="方正楷体简体"/>
          <w:color w:val="auto"/>
          <w:sz w:val="34"/>
          <w:szCs w:val="34"/>
          <w:highlight w:val="none"/>
          <w:lang w:eastAsia="zh-CN"/>
        </w:rPr>
        <w:t>完善制度机制，推动巡察整改常态化长效化。</w:t>
      </w:r>
      <w:r>
        <w:rPr>
          <w:rFonts w:hint="default" w:ascii="Times New Roman" w:hAnsi="Times New Roman" w:eastAsia="方正仿宋简体" w:cs="Times New Roman"/>
          <w:color w:val="auto"/>
          <w:sz w:val="34"/>
          <w:szCs w:val="34"/>
          <w:highlight w:val="none"/>
        </w:rPr>
        <w:t>对巡察整改过程中建立的制度进行梳理完善，加强制度执行情况的监督，确保落地生根。加强对整改成果的运用，将巡察整改成果与水务事业高质量发展紧密结合。</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eastAsia" w:ascii="方正楷体简体" w:hAnsi="方正楷体简体" w:eastAsia="方正楷体简体" w:cs="方正楷体简体"/>
          <w:color w:val="auto"/>
          <w:sz w:val="34"/>
          <w:szCs w:val="34"/>
          <w:highlight w:val="none"/>
          <w:lang w:eastAsia="zh-CN"/>
        </w:rPr>
        <w:t>（三）</w:t>
      </w:r>
      <w:r>
        <w:rPr>
          <w:rFonts w:hint="eastAsia" w:ascii="方正楷体简体" w:hAnsi="方正楷体简体" w:eastAsia="方正楷体简体" w:cs="方正楷体简体"/>
          <w:color w:val="auto"/>
          <w:sz w:val="34"/>
          <w:szCs w:val="34"/>
          <w:highlight w:val="none"/>
        </w:rPr>
        <w:t>强化督查检查，确保真改实改。</w:t>
      </w:r>
      <w:r>
        <w:rPr>
          <w:rFonts w:hint="default" w:ascii="Times New Roman" w:hAnsi="Times New Roman" w:eastAsia="方正仿宋简体" w:cs="Times New Roman"/>
          <w:color w:val="auto"/>
          <w:sz w:val="34"/>
          <w:szCs w:val="34"/>
          <w:highlight w:val="none"/>
        </w:rPr>
        <w:t>为切实推动巡察反馈问题整改到位，市水务局党组立足 “真改实改、改出成效” 目标，持续加大对巡察整改措施落实情况的督查检查力度，以强有力的监督保障整改工作落地见效。</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color w:val="auto"/>
          <w:sz w:val="34"/>
          <w:szCs w:val="34"/>
          <w:highlight w:val="none"/>
        </w:rPr>
        <w:t>欢迎广大干部群众对巡察整改落实情况进行监督。如有意见建议，请及时向我们反映。公开期限:202</w:t>
      </w:r>
      <w:r>
        <w:rPr>
          <w:rFonts w:hint="eastAsia" w:ascii="Times New Roman" w:hAnsi="Times New Roman" w:eastAsia="方正仿宋简体" w:cs="Times New Roman"/>
          <w:color w:val="auto"/>
          <w:sz w:val="34"/>
          <w:szCs w:val="34"/>
          <w:highlight w:val="none"/>
          <w:lang w:val="en-US" w:eastAsia="zh-CN"/>
        </w:rPr>
        <w:t>5</w:t>
      </w:r>
      <w:r>
        <w:rPr>
          <w:rFonts w:hint="default" w:ascii="Times New Roman" w:hAnsi="Times New Roman" w:eastAsia="方正仿宋简体" w:cs="Times New Roman"/>
          <w:color w:val="auto"/>
          <w:sz w:val="34"/>
          <w:szCs w:val="34"/>
          <w:highlight w:val="none"/>
        </w:rPr>
        <w:t>年</w:t>
      </w:r>
      <w:r>
        <w:rPr>
          <w:rFonts w:hint="eastAsia" w:ascii="Times New Roman" w:hAnsi="Times New Roman" w:eastAsia="方正仿宋简体" w:cs="Times New Roman"/>
          <w:color w:val="auto"/>
          <w:sz w:val="34"/>
          <w:szCs w:val="34"/>
          <w:highlight w:val="none"/>
          <w:lang w:val="en-US" w:eastAsia="zh-CN"/>
        </w:rPr>
        <w:t>11</w:t>
      </w:r>
      <w:r>
        <w:rPr>
          <w:rFonts w:hint="default" w:ascii="Times New Roman" w:hAnsi="Times New Roman" w:eastAsia="方正仿宋简体" w:cs="Times New Roman"/>
          <w:color w:val="auto"/>
          <w:sz w:val="34"/>
          <w:szCs w:val="34"/>
          <w:highlight w:val="none"/>
        </w:rPr>
        <w:t>月</w:t>
      </w:r>
      <w:r>
        <w:rPr>
          <w:rFonts w:hint="eastAsia" w:ascii="Times New Roman" w:hAnsi="Times New Roman" w:eastAsia="方正仿宋简体" w:cs="Times New Roman"/>
          <w:color w:val="auto"/>
          <w:sz w:val="34"/>
          <w:szCs w:val="34"/>
          <w:highlight w:val="none"/>
          <w:lang w:val="en-US" w:eastAsia="zh-CN"/>
        </w:rPr>
        <w:t>20</w:t>
      </w:r>
      <w:r>
        <w:rPr>
          <w:rFonts w:hint="default" w:ascii="Times New Roman" w:hAnsi="Times New Roman" w:eastAsia="方正仿宋简体" w:cs="Times New Roman"/>
          <w:color w:val="auto"/>
          <w:sz w:val="34"/>
          <w:szCs w:val="34"/>
          <w:highlight w:val="none"/>
        </w:rPr>
        <w:t>日至</w:t>
      </w:r>
      <w:r>
        <w:rPr>
          <w:rFonts w:hint="eastAsia" w:ascii="Times New Roman" w:hAnsi="Times New Roman" w:eastAsia="方正仿宋简体" w:cs="Times New Roman"/>
          <w:color w:val="auto"/>
          <w:sz w:val="34"/>
          <w:szCs w:val="34"/>
          <w:highlight w:val="none"/>
          <w:lang w:val="en-US" w:eastAsia="zh-CN"/>
        </w:rPr>
        <w:t>12</w:t>
      </w:r>
      <w:r>
        <w:rPr>
          <w:rFonts w:hint="default" w:ascii="Times New Roman" w:hAnsi="Times New Roman" w:eastAsia="方正仿宋简体" w:cs="Times New Roman"/>
          <w:color w:val="auto"/>
          <w:sz w:val="34"/>
          <w:szCs w:val="34"/>
          <w:highlight w:val="none"/>
        </w:rPr>
        <w:t>月</w:t>
      </w:r>
      <w:r>
        <w:rPr>
          <w:rFonts w:hint="eastAsia" w:ascii="Times New Roman" w:hAnsi="Times New Roman" w:eastAsia="方正仿宋简体" w:cs="Times New Roman"/>
          <w:color w:val="auto"/>
          <w:sz w:val="34"/>
          <w:szCs w:val="34"/>
          <w:highlight w:val="none"/>
          <w:lang w:val="en-US" w:eastAsia="zh-CN"/>
        </w:rPr>
        <w:t>10</w:t>
      </w:r>
      <w:r>
        <w:rPr>
          <w:rFonts w:hint="default" w:ascii="Times New Roman" w:hAnsi="Times New Roman" w:eastAsia="方正仿宋简体" w:cs="Times New Roman"/>
          <w:color w:val="auto"/>
          <w:sz w:val="34"/>
          <w:szCs w:val="34"/>
          <w:highlight w:val="none"/>
        </w:rPr>
        <w:t>日。联系电话:0415-3139730 (工作日9:00-17:00);邮政信箱：丹东市振兴区中心北路2号。</w:t>
      </w: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p>
    <w:p>
      <w:pPr>
        <w:wordWrap/>
        <w:spacing w:before="0" w:after="0" w:line="579" w:lineRule="exact"/>
        <w:ind w:right="0" w:firstLine="640" w:firstLineChars="20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color w:val="auto"/>
          <w:sz w:val="34"/>
          <w:szCs w:val="34"/>
          <w:highlight w:val="none"/>
          <w:lang w:val="en-US" w:eastAsia="zh-CN"/>
        </w:rPr>
        <w:t xml:space="preserve">                        </w:t>
      </w:r>
      <w:r>
        <w:rPr>
          <w:rFonts w:hint="default" w:ascii="Times New Roman" w:hAnsi="Times New Roman" w:eastAsia="方正仿宋简体" w:cs="Times New Roman"/>
          <w:color w:val="auto"/>
          <w:sz w:val="34"/>
          <w:szCs w:val="34"/>
          <w:highlight w:val="none"/>
        </w:rPr>
        <w:t>中共丹东市水务局党组</w:t>
      </w:r>
    </w:p>
    <w:p>
      <w:pPr>
        <w:pStyle w:val="3"/>
        <w:wordWrap/>
        <w:spacing w:before="0" w:after="0" w:line="579" w:lineRule="exact"/>
        <w:ind w:right="0"/>
        <w:jc w:val="both"/>
        <w:textAlignment w:val="auto"/>
        <w:outlineLvl w:val="9"/>
        <w:rPr>
          <w:rFonts w:hint="default" w:ascii="Times New Roman" w:hAnsi="Times New Roman" w:eastAsia="方正仿宋简体" w:cs="Times New Roman"/>
          <w:color w:val="auto"/>
          <w:sz w:val="34"/>
          <w:szCs w:val="34"/>
          <w:highlight w:val="none"/>
        </w:rPr>
      </w:pPr>
      <w:r>
        <w:rPr>
          <w:rFonts w:hint="default" w:ascii="Times New Roman" w:hAnsi="Times New Roman" w:eastAsia="方正仿宋简体" w:cs="Times New Roman"/>
          <w:color w:val="auto"/>
          <w:sz w:val="34"/>
          <w:szCs w:val="34"/>
          <w:highlight w:val="none"/>
          <w:lang w:val="en-US" w:eastAsia="zh-CN"/>
        </w:rPr>
        <w:t xml:space="preserve">                              </w:t>
      </w:r>
      <w:r>
        <w:rPr>
          <w:rFonts w:hint="eastAsia" w:ascii="Times New Roman" w:hAnsi="Times New Roman" w:eastAsia="方正仿宋简体" w:cs="Times New Roman"/>
          <w:color w:val="auto"/>
          <w:sz w:val="34"/>
          <w:szCs w:val="34"/>
          <w:highlight w:val="none"/>
          <w:lang w:val="en-US" w:eastAsia="zh-CN"/>
        </w:rPr>
        <w:t xml:space="preserve"> </w:t>
      </w:r>
      <w:bookmarkStart w:id="5" w:name="_GoBack"/>
      <w:bookmarkEnd w:id="5"/>
      <w:r>
        <w:rPr>
          <w:rFonts w:hint="default" w:ascii="Times New Roman" w:hAnsi="Times New Roman" w:eastAsia="方正仿宋简体" w:cs="Times New Roman"/>
          <w:color w:val="auto"/>
          <w:sz w:val="34"/>
          <w:szCs w:val="34"/>
          <w:highlight w:val="none"/>
        </w:rPr>
        <w:t>2025年</w:t>
      </w:r>
      <w:r>
        <w:rPr>
          <w:rFonts w:hint="eastAsia" w:ascii="Times New Roman" w:hAnsi="Times New Roman" w:eastAsia="方正仿宋简体" w:cs="Times New Roman"/>
          <w:color w:val="auto"/>
          <w:sz w:val="34"/>
          <w:szCs w:val="34"/>
          <w:highlight w:val="none"/>
          <w:lang w:val="en-US" w:eastAsia="zh-CN"/>
        </w:rPr>
        <w:t>11</w:t>
      </w:r>
      <w:r>
        <w:rPr>
          <w:rFonts w:hint="default" w:ascii="Times New Roman" w:hAnsi="Times New Roman" w:eastAsia="方正仿宋简体" w:cs="Times New Roman"/>
          <w:color w:val="auto"/>
          <w:sz w:val="34"/>
          <w:szCs w:val="34"/>
          <w:highlight w:val="none"/>
        </w:rPr>
        <w:t>月</w:t>
      </w:r>
      <w:r>
        <w:rPr>
          <w:rFonts w:hint="eastAsia" w:ascii="Times New Roman" w:hAnsi="Times New Roman" w:eastAsia="方正仿宋简体" w:cs="Times New Roman"/>
          <w:color w:val="auto"/>
          <w:sz w:val="34"/>
          <w:szCs w:val="34"/>
          <w:highlight w:val="none"/>
          <w:lang w:val="en-US" w:eastAsia="zh-CN"/>
        </w:rPr>
        <w:t>20</w:t>
      </w:r>
      <w:r>
        <w:rPr>
          <w:rFonts w:hint="default" w:ascii="Times New Roman" w:hAnsi="Times New Roman" w:eastAsia="方正仿宋简体" w:cs="Times New Roman"/>
          <w:color w:val="auto"/>
          <w:sz w:val="34"/>
          <w:szCs w:val="34"/>
          <w:highlight w:val="none"/>
        </w:rPr>
        <w:t>日</w:t>
      </w: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_x0000_s1026"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chineseCounting"/>
      <w:suff w:val="nothing"/>
      <w:lvlText w:val="%1、"/>
      <w:lvlJc w:val="left"/>
      <w:pPr>
        <w:ind w:left="640" w:firstLine="0"/>
      </w:pPr>
      <w:rPr>
        <w:rFonts w:hint="eastAsia"/>
      </w:r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1"/>
    <w:basedOn w:val="1"/>
    <w:next w:val="1"/>
    <w:pPr>
      <w:keepNext/>
      <w:keepLines/>
      <w:spacing w:before="340" w:after="330" w:line="578" w:lineRule="auto"/>
      <w:outlineLvl w:val="0"/>
    </w:pPr>
    <w:rPr>
      <w:b/>
      <w:bCs/>
      <w:kern w:val="44"/>
      <w:sz w:val="44"/>
      <w:szCs w:val="44"/>
    </w:rPr>
  </w:style>
  <w:style w:type="character" w:default="1" w:styleId="6">
    <w:name w:val="Default Paragraph Font"/>
  </w:style>
  <w:style w:type="paragraph" w:styleId="3">
    <w:name w:val="Body Text"/>
    <w:basedOn w:val="1"/>
  </w:style>
  <w:style w:type="paragraph" w:styleId="4">
    <w:name w:val="footer"/>
    <w:basedOn w:val="1"/>
    <w:pPr>
      <w:tabs>
        <w:tab w:val="center" w:pos="4153"/>
        <w:tab w:val="right" w:pos="8306"/>
      </w:tabs>
      <w:snapToGrid w:val="0"/>
      <w:jc w:val="left"/>
    </w:pPr>
    <w:rPr>
      <w:sz w:val="18"/>
      <w:szCs w:val="18"/>
    </w:rPr>
  </w:style>
  <w:style w:type="paragraph" w:styleId="5">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7">
    <w:name w:val="Normal Indent"/>
    <w:basedOn w:val="1"/>
    <w:pPr>
      <w:widowControl/>
      <w:ind w:firstLine="420"/>
      <w:jc w:val="left"/>
    </w:pPr>
    <w:rPr>
      <w:rFonts w:eastAsia="仿宋_GB2312"/>
      <w:kern w:val="0"/>
      <w:sz w:val="20"/>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4210</Words>
  <Characters>4471</Characters>
  <Lines>32</Lines>
  <Paragraphs>9</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2025-02-18T22:12:00Z</dcterms:created>
  <dc:creator>张文凯</dc:creator>
  <dcterms:modified xsi:type="dcterms:W3CDTF">2025-12-05T14:36:21Z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E7F1DD2A5F07400BB8B4FE389B45EB6A_11</vt:lpwstr>
  </property>
  <property fmtid="{D5CDD505-2E9C-101B-9397-08002B2CF9AE}" pid="4" name="KSOTemplateDocerSaveRecord">
    <vt:lpwstr>eyJoZGlkIjoiYzFiMDc2NjUyZTQyNjFlNDdjODU5N2RkMGQ3YjQ2ZjMiLCJ1c2VySWQiOiIxMzMxNTUwNDQ2In0=</vt:lpwstr>
  </property>
</Properties>
</file>