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宽甸满族自治县残疾人联合会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</w:p>
    <w:p w14:paraId="1FEF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巡察整改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进展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情况的通报</w:t>
      </w:r>
    </w:p>
    <w:p w14:paraId="74067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0809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根据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县委和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县委巡察工作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领导小组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统一部署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日，县委第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巡察组对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宽甸满族自治县残疾人联合会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进行了常规巡察。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日，县委巡察组向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宽甸满族自治县残疾人联合会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反馈了巡察意见。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按照《中国共产党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巡视工作条例》有关要求，现将巡察整改情况予以公布。</w:t>
      </w:r>
    </w:p>
    <w:p w14:paraId="4E4A2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围绕贯彻党的二十大精神推动惠残政策落地见效不够到位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3月3日“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全国助残日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3月23日全县就业招聘会、5月6日“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残疾预防日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”等重要节点，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利用电视、手机视频、宽甸融媒、微信等新型宣传方式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，以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现场政策解答、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发放宣传画册、悬挂标语、政策咨询等，广泛宣传残疾预防、惠残政策；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二是县残联于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1月26日、4月9日组织全县残疾人工作队伍集中学习相关惠残政策，并安排部署各乡镇残疾人工作者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入户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走访工作，在推动专项工作的同时，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宣传残疾预防知识及惠残政策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；三是残联机关干部每人包扶一名贫困残疾人，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通过落实“两个找到”结合“四下基层”，深入残疾人群体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了解残疾人的民生需求，同时向残疾人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宣传、讲解惠残政策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通过镇村残疾人工作委员、村（社区）残协人员入户走访调查、残疾人系统筛查等方式，建立一户多残、一人多残等特殊困难残疾人台账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，并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日常工作纳入乡镇残疾人工作委员考核之中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根据上级文件要求，结合残疾人实际情况和本人发展意愿，有针对性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制定帮扶政策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；六是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严格执行“两个找到”，要求残联机关在职工作人员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每人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包扶一名困难残疾人，每季度入户走访一次，切实解决包扶对象的实际困难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；七是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制定残疾人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康复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工作回访制度，对开展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服务残疾人的机构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进行满意度调查，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按照残疾人康复规则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约定服务协议，将残疾人满意度与服务报酬挂钩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2023年康复总体时长达不到要求的，在2024年予以延长康复时长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认真学习文件精神，吃透政策精髓，加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强对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现有的残疾人就业帮扶基地的监督指导，对残疾人就业帮扶基地采取安置残疾人就业、帮扶带动残疾人开展实用技术培训、促进生产增收，实现残疾人家庭增收；九是要求各帮扶就业基地尊重残疾人隐私，统一指导各基地对公示牌上的残疾人信息采取隐藏、遮盖等方式，避免残疾人隐私外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5339F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防范化解风险意识不够强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完善宽甸残联信访工作制度，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建立残疾人信访工作台账，详细记录来访残疾人基本情况、信访需求、解决方法；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针对残疾人信访的特性，制定处置信访维稳措施，建立信访台账，强化责任意识，提升信访工作质效。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做好本单位上访职工的思想工作，并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积极与相关部门衔接，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引导其采取正当的渠道反映诉求，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避免出现越级访、出省进京访。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</w:p>
    <w:p w14:paraId="017F3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认真履行党建一把手的主体责任，提高政治站位，正确认识意识形态和民族宗教工作，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各办公室的工作人员应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切实抓好意识形态研判和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残疾人群体的信访稳定状态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制定合理的学习计划，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适时开展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学习贯彻有关民族工作精神，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避免突击式传达学习，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结合残联实际开展民族工作。</w:t>
      </w:r>
    </w:p>
    <w:p w14:paraId="6B088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推动履职尽责不够有力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积极与县中心医院沟通协调，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县中心医院检测设备已经购置，并安排人员进行业务学习，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2024年4月份择机开展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听力检测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督促乡镇残联加强残疾人证动态监管，严格按照《残疾人证管理办法》规定，及时注销、冻结、变更残疾人证，并将残疾人证的动态管理纳入乡镇残疾人工作委员的考评中；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要求和督促乡镇残联将残疾人证公示纳入村“阳光三务”、村微信群、村公示栏同时公示，接受群众监督；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经向市残联申请，市残联已给出反馈意见，对于特殊类型精神类残疾，与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来康医院联系开展精神类残疾上门办证服务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。五是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执行“两个找到”要求，制定乡镇残联工作人员入户走访制度，乡镇残疾人工作委员结合需求调查和动态更新工作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每季度入户不少于20人次，建立入户走访工作台账，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及时了解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残疾人需求、解决办法和结果等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，无法解决的及时上报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六是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完善残疾人工作委员管理考核细则，加强日常考核管理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，对考核不合格的残疾人工作委员通报至各乡镇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 w14:paraId="729A5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廉政风险防范意识不够强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无人机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进行测试，检查无人机功能是否可以正常使用，如不能正常使用，予以报废处理，留存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残疾人创业展品对外展示。如可以正常使用，则加强保养、维护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帮助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天缘艺术品有限公司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分红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协议，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财务人员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指导、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督促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合理使用资金，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促进企业抓好生产管理，提质增效，把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经营成果惠及每个入股残疾人。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要抓好班子，严管队伍，全面压实管党治党政治责任，加强廉政风险防控工作，调动各方力量加强专项资金全链条监管，提高资金使用质效，让有限资金更好惠及困难残疾人。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乡镇残疾人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员的业务培训，熟练掌握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无障碍改造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工作流程、要点和注意事项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，对无障碍改造工程验收登记表进行检查，对存在问题的表格进行完善，照片错误的重新拍摄，达不到要求的要说明情况；要求红石镇重新填报残疾人家庭实物投放审批单，并进行批评教育，杜绝今后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发生类似问题；督促并检查杨木川镇兄弟农场列出帮扶计划，及时开展残疾人帮扶工作，达到规定标准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开展康复服务满意度调查工作，形成随机抽查机制，调查服务对象的满意度，达到抽查比例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，了解记录残疾人康复需求，为今后残疾人康复工作安排提供依据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组织财务人员深入东来康医院指导专项资金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，并举一反三，不断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完善专项资金使用制度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4649A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推进党支部规范化建设主动性不够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2024年2月5日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结合主要领导的职务变动，成立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残联支部委员会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3人组成；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二是认真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“一岗双责”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发挥党支部战斗堡垒作用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，要求党员立足工作岗位各司其职，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带领全体党员干部开展各项工作；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1月29日召开组织生活会，每名党员进行了自我批评、党员互评和领导点评，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每名党员工作情况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实事求是开展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了</w:t>
      </w:r>
      <w:r>
        <w:rPr>
          <w:rFonts w:hint="eastAsia" w:cs="Times New Roman"/>
          <w:b w:val="0"/>
          <w:bCs w:val="0"/>
          <w:sz w:val="32"/>
          <w:szCs w:val="32"/>
          <w:u w:val="none"/>
          <w:lang w:eastAsia="zh-CN"/>
        </w:rPr>
        <w:t>民主评议党员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；2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22日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召开巡察整改专项组织生活会，领导班子及成员进行了对照检查，巡察组组长出席讲话并进行了点评。</w:t>
      </w:r>
    </w:p>
    <w:p w14:paraId="5D98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0415-3217086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；通信地址：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宽甸满族自治县宽甸镇左子元西街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；邮编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118200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4FB5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521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18C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宽甸满族自治县残疾人联合会</w:t>
      </w:r>
    </w:p>
    <w:p w14:paraId="19B9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AF9E57-CA6B-4082-93C9-CFBF23303F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7FA189-5AD7-4DE8-A6B8-50FD6AF988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71784B0-7409-4673-87B2-80B0BF7153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E4A559-2CA1-4375-B652-21BDF22D91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ED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AD0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AD0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0D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jZiMjVmNzY1YmRmYzAyYjIxNDIzZWJkODMzYzkifQ=="/>
  </w:docVars>
  <w:rsids>
    <w:rsidRoot w:val="00000000"/>
    <w:rsid w:val="037554BB"/>
    <w:rsid w:val="085E08B4"/>
    <w:rsid w:val="0D445AF5"/>
    <w:rsid w:val="11103C0E"/>
    <w:rsid w:val="13F83B2A"/>
    <w:rsid w:val="17712A16"/>
    <w:rsid w:val="18D4037A"/>
    <w:rsid w:val="1A0D1327"/>
    <w:rsid w:val="1CF27A08"/>
    <w:rsid w:val="206F41B2"/>
    <w:rsid w:val="21932D33"/>
    <w:rsid w:val="27634D45"/>
    <w:rsid w:val="277713AD"/>
    <w:rsid w:val="28F25980"/>
    <w:rsid w:val="3E2148E6"/>
    <w:rsid w:val="3F3764DD"/>
    <w:rsid w:val="40093E28"/>
    <w:rsid w:val="41287D39"/>
    <w:rsid w:val="440A76D9"/>
    <w:rsid w:val="45982AEE"/>
    <w:rsid w:val="46117980"/>
    <w:rsid w:val="4BD56D10"/>
    <w:rsid w:val="58B62986"/>
    <w:rsid w:val="61B6559E"/>
    <w:rsid w:val="61E94ADB"/>
    <w:rsid w:val="65BA29FE"/>
    <w:rsid w:val="6AFF7708"/>
    <w:rsid w:val="6E386362"/>
    <w:rsid w:val="6E6B635B"/>
    <w:rsid w:val="6F4A0072"/>
    <w:rsid w:val="76B95F4F"/>
    <w:rsid w:val="7C7C095E"/>
    <w:rsid w:val="7DE81B7D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492ff82d-312f-4f54-9464-604d76652510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6B0880C7</paraID>
      <start>147</start>
      <end>148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302a2-00d4-4669-8aca-2e206a0f4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2416</Words>
  <Characters>2468</Characters>
  <Lines>0</Lines>
  <Paragraphs>0</Paragraphs>
  <TotalTime>0</TotalTime>
  <ScaleCrop>false</ScaleCrop>
  <LinksUpToDate>false</LinksUpToDate>
  <CharactersWithSpaces>2486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2022-12-12T01:42:00Z</dcterms:created>
  <dc:creator>Administrator</dc:creator>
  <cp:lastModifiedBy>胡珊</cp:lastModifiedBy>
  <cp:lastPrinted>2024-06-11T06:24:00Z</cp:lastPrinted>
  <dcterms:modified xsi:type="dcterms:W3CDTF">2025-11-12T10:57:46Z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A563CBD7345F49109F46B035A9576956_13</vt:lpwstr>
  </property>
  <property fmtid="{D5CDD505-2E9C-101B-9397-08002B2CF9AE}" pid="4" name="KSOTemplateDocerSaveRecord">
    <vt:lpwstr>eyJoZGlkIjoiMThlYjQ4MWU3NTFjZTc1YzVlYzU3ZmQ3ZThjZTZjOTQiLCJ1c2VySWQiOiI2NjUwNjc4OTkifQ==</vt:lpwstr>
  </property>
</Properties>
</file>