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E9BB">
      <w:pPr>
        <w:spacing w:line="57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 xml:space="preserve"> 中共凤城市石城镇委员会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关于市委</w:t>
      </w:r>
    </w:p>
    <w:p w14:paraId="5444C72E">
      <w:pPr>
        <w:spacing w:line="578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巡察整改落实进展情况的通报</w:t>
      </w:r>
    </w:p>
    <w:p w14:paraId="58E36A3B">
      <w:pPr>
        <w:spacing w:line="578" w:lineRule="exact"/>
        <w:ind w:firstLine="0" w:firstLineChars="0"/>
        <w:rPr>
          <w:rFonts w:ascii="仿宋_GB2312" w:hAnsi="仿宋_GB2312" w:cs="仿宋_GB2312"/>
          <w:b w:val="0"/>
          <w:bCs w:val="0"/>
        </w:rPr>
      </w:pPr>
    </w:p>
    <w:p w14:paraId="3CE29A9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rPr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</w:rPr>
        <w:t>按照凤城市委和凤城市委巡察工作领导小组统一安排部署，2023年10月23日至12月30日，市委第一巡察组对石城镇党委及所辖村党支部进行了巡察工作。2024年3月12日，市委第一巡察组向石城镇反馈了巡察意见，并提出了有针对性和极具操作性的整改建议。根据有关规定和要求，现将巡察整改落实进展情况</w:t>
      </w:r>
      <w:r>
        <w:rPr>
          <w:b w:val="0"/>
          <w:bCs w:val="0"/>
        </w:rPr>
        <w:t>予以公</w:t>
      </w:r>
      <w:r>
        <w:rPr>
          <w:rFonts w:hint="eastAsia"/>
          <w:b w:val="0"/>
          <w:bCs w:val="0"/>
        </w:rPr>
        <w:t>开。</w:t>
      </w:r>
    </w:p>
    <w:p w14:paraId="3E5297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</w:rPr>
        <w:t>一、</w:t>
      </w:r>
      <w:r>
        <w:rPr>
          <w:rFonts w:hint="eastAsia" w:ascii="黑体" w:hAnsi="黑体" w:eastAsia="黑体" w:cs="黑体"/>
        </w:rPr>
        <w:t>巡察整改落实情况</w:t>
      </w:r>
    </w:p>
    <w:p w14:paraId="20DAD8D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（一）贯彻落实上级重大决策部署和具体工作要求不够到位</w:t>
      </w:r>
    </w:p>
    <w:p w14:paraId="5AFBE01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eastAsia"/>
          <w:b w:val="0"/>
        </w:rPr>
      </w:pPr>
      <w:r>
        <w:rPr>
          <w:rFonts w:hint="eastAsia"/>
        </w:rPr>
        <w:t>1.贯彻落实习近平总书记重要讲话精神不够深入。</w:t>
      </w:r>
      <w:r>
        <w:rPr>
          <w:rFonts w:hint="eastAsia" w:ascii="仿宋_GB2312" w:hAnsi="宋体"/>
          <w:b w:val="0"/>
          <w:bCs w:val="0"/>
        </w:rPr>
        <w:t>一是镇党委坚持“中心组学习”制度，采取线上学与线下学，集中学与自主学相结合，提前制定学习计划、学习方案及学习研讨课题，中心组学习开展研讨3次。二是班子成员每年结合各自工作实际，写一篇心得体会和调研报告。目前，班子成员已写心得体会6篇</w:t>
      </w:r>
      <w:r>
        <w:rPr>
          <w:rFonts w:hint="eastAsia" w:ascii="仿宋_GB2312" w:hAnsi="宋体"/>
          <w:b w:val="0"/>
          <w:bCs w:val="0"/>
          <w:lang w:eastAsia="zh-CN"/>
        </w:rPr>
        <w:t>。</w:t>
      </w:r>
      <w:r>
        <w:rPr>
          <w:rFonts w:hint="eastAsia" w:ascii="仿宋_GB2312" w:hAnsi="宋体"/>
          <w:b w:val="0"/>
          <w:bCs w:val="0"/>
        </w:rPr>
        <w:t>三是进一步加强理论中心组学习实效性，充分解读新形势下的新理论、新政策，结合石城实际，制定工作方案和具体措施，着力在学以致用、融会贯通上下功夫，对新时期的重点工作要求，摒弃经验主义和保守思想，充分发挥创新思维和方法，不断提升工作成效。</w:t>
      </w:r>
      <w:r>
        <w:rPr>
          <w:rFonts w:hint="eastAsia"/>
          <w:b w:val="0"/>
          <w:bCs w:val="0"/>
          <w:lang w:eastAsia="zh-CN"/>
        </w:rPr>
        <w:t>四是</w:t>
      </w:r>
      <w:r>
        <w:rPr>
          <w:rFonts w:hint="eastAsia"/>
          <w:b w:val="0"/>
        </w:rPr>
        <w:t>将剩余105册发放完毕，监督党员干部日常学习，认真阅读，坚决杜绝此类问题发生。</w:t>
      </w:r>
    </w:p>
    <w:p w14:paraId="5FA68DC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b w:val="0"/>
        </w:rPr>
      </w:pPr>
      <w:r>
        <w:rPr>
          <w:rFonts w:hint="eastAsia" w:ascii="仿宋_GB2312" w:hAnsi="宋体"/>
        </w:rPr>
        <w:t>2.推动实施乡村振兴战略不够有力。</w:t>
      </w:r>
      <w:r>
        <w:rPr>
          <w:rFonts w:hint="eastAsia"/>
          <w:b w:val="0"/>
        </w:rPr>
        <w:t>一是镇政府确定项目管家和公共管家服务企业对象，定期与企业进行沟通联系，及时掌握企业在生产经营中存在的问题与困难，帮助企业解决生产中遇到的实际问题，对已建成的企业生产情况进行定期了解，对新建项目的进度进行实时跟踪，促进企业健康发展。今年以来，镇政府主要领导及企业办工作人员深入企业10余次，帮助企业解决用工难等问题</w:t>
      </w:r>
      <w:r>
        <w:rPr>
          <w:rFonts w:hint="eastAsia"/>
          <w:b w:val="0"/>
          <w:lang w:eastAsia="zh-CN"/>
        </w:rPr>
        <w:t>。二是</w:t>
      </w:r>
      <w:r>
        <w:rPr>
          <w:rFonts w:hint="eastAsia"/>
          <w:b w:val="0"/>
        </w:rPr>
        <w:t>通过招商引资吸引华达农场、参莱参业等2家企业落户石城投资。</w:t>
      </w:r>
      <w:r>
        <w:rPr>
          <w:rFonts w:hint="eastAsia"/>
          <w:b w:val="0"/>
          <w:lang w:eastAsia="zh-CN"/>
        </w:rPr>
        <w:t>三</w:t>
      </w:r>
      <w:r>
        <w:rPr>
          <w:rFonts w:hint="eastAsia"/>
          <w:b w:val="0"/>
        </w:rPr>
        <w:t>是对于大连羽丰禽业2017年落地石城，一直未开工的问题，经镇政府与企业沟通衔接，已于2024年2月底进场入驻，目前已出栏肉鸡两批，共出栏肉鸡67万只。</w:t>
      </w:r>
      <w:r>
        <w:rPr>
          <w:rFonts w:hint="eastAsia"/>
          <w:b w:val="0"/>
          <w:lang w:eastAsia="zh-CN"/>
        </w:rPr>
        <w:t>四</w:t>
      </w:r>
      <w:r>
        <w:rPr>
          <w:rFonts w:hint="eastAsia"/>
          <w:b w:val="0"/>
        </w:rPr>
        <w:t>是对全镇47栋闲置的养鸡大棚进行分门别类，对于适合恢复耕种的大棚地块，向养殖户宣传恢复耕地的重要意义，及时恢复耕种，提高土地使用效益。</w:t>
      </w:r>
      <w:r>
        <w:rPr>
          <w:rFonts w:hint="eastAsia"/>
          <w:b w:val="0"/>
          <w:lang w:eastAsia="zh-CN"/>
        </w:rPr>
        <w:t>五</w:t>
      </w:r>
      <w:r>
        <w:rPr>
          <w:rFonts w:hint="eastAsia"/>
          <w:b w:val="0"/>
        </w:rPr>
        <w:t>是由村组干部及包村干部对闲置养鸡大棚进行逐户通知，对于有改造重建意愿的农户进行适时重新复养，对于无意复养的农户督促及时拆除，恢复耕种。截止目前，全镇已有7栋闲置养鸡大棚自行拆除，8栋恢复养殖使用。</w:t>
      </w:r>
    </w:p>
    <w:p w14:paraId="10F069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b w:val="0"/>
          <w:bCs w:val="0"/>
        </w:rPr>
      </w:pPr>
      <w:r>
        <w:rPr>
          <w:rFonts w:hint="eastAsia"/>
        </w:rPr>
        <w:t>3.关注和解决民生难题不够有效。</w:t>
      </w:r>
      <w:r>
        <w:rPr>
          <w:rFonts w:hint="eastAsia"/>
          <w:b w:val="0"/>
        </w:rPr>
        <w:t>一是石城镇开展越冬垃圾集中整治活动，召开会议进行再动员再部署，发动各村干部群众对越冬垃圾进行集中清理，督促百隆环卫企业对垃圾池周边散落垃圾进行及时清理。二是加大对村级保洁员的管理，镇政府抽调12名机关干部成立三个检查组，加大对环境卫生的检查力度，保证每周开展两次以上的环境卫生检查，督促保洁员按要求完成保洁任务，对不适合从事保洁工作的保洁员进行及时更换，目前已更换保洁员4名。三是4次组织水管员、保洁员对河段内垃圾进行清理，动用车辆4台次，共清理垃圾20立方米。严格落实河长制工作任务，建立考核监管机制，压实责任，充分发挥各级河长作用，形成处处河段有人管的氛围。全镇10个村110个村民组垃圾池无积存垃圾，垃圾全部实现统一收集、统一清运、统一无害化处理的工作目标。</w:t>
      </w:r>
      <w:r>
        <w:rPr>
          <w:rFonts w:hint="eastAsia"/>
          <w:b w:val="0"/>
          <w:lang w:eastAsia="zh-CN"/>
        </w:rPr>
        <w:t>四</w:t>
      </w:r>
      <w:r>
        <w:rPr>
          <w:rFonts w:hint="eastAsia"/>
          <w:b w:val="0"/>
        </w:rPr>
        <w:t>是加强农村饮水工程运行使用、日常巡查、维修养护、安全责任等相关工作，确保农村饮水安全。</w:t>
      </w:r>
      <w:r>
        <w:rPr>
          <w:rFonts w:hint="eastAsia"/>
          <w:b w:val="0"/>
          <w:lang w:eastAsia="zh-CN"/>
        </w:rPr>
        <w:t>五</w:t>
      </w:r>
      <w:r>
        <w:rPr>
          <w:rFonts w:hint="eastAsia"/>
          <w:b w:val="0"/>
        </w:rPr>
        <w:t>是由于特殊天气或汛期水毁等因素影响，饮水工程每年不同程度上都需要维修养护，已与物价部门联合制定石城镇自来水水费征收制度。</w:t>
      </w:r>
      <w:r>
        <w:rPr>
          <w:rFonts w:hint="eastAsia"/>
          <w:b w:val="0"/>
          <w:lang w:eastAsia="zh-CN"/>
        </w:rPr>
        <w:t>六</w:t>
      </w:r>
      <w:r>
        <w:rPr>
          <w:rFonts w:hint="eastAsia"/>
          <w:b w:val="0"/>
        </w:rPr>
        <w:t>是已向水利、乡村振兴等部门争取饮水资金的扶持，目前铁佛村自来水井已选址，年底前将逐步通水。</w:t>
      </w:r>
      <w:r>
        <w:rPr>
          <w:rFonts w:hint="eastAsia"/>
          <w:b w:val="0"/>
          <w:bCs w:val="0"/>
          <w:lang w:eastAsia="zh-CN"/>
        </w:rPr>
        <w:t>七是镇政府</w:t>
      </w:r>
      <w:r>
        <w:rPr>
          <w:rFonts w:hint="eastAsia"/>
          <w:b w:val="0"/>
          <w:bCs w:val="0"/>
        </w:rPr>
        <w:t>积极向上申请项目资金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逐步实现各村组路面硬化。2023年财政一事一议农村道路项目由于开工时间较晚，因季节原因停工，尚有5.8公里道路暂未开工，经镇政府督促，目前已完工。</w:t>
      </w:r>
      <w:r>
        <w:rPr>
          <w:rFonts w:hint="eastAsia"/>
          <w:b w:val="0"/>
          <w:bCs w:val="0"/>
          <w:lang w:eastAsia="zh-CN"/>
        </w:rPr>
        <w:t>八</w:t>
      </w:r>
      <w:r>
        <w:rPr>
          <w:rFonts w:hint="eastAsia"/>
          <w:b w:val="0"/>
          <w:bCs w:val="0"/>
        </w:rPr>
        <w:t>是加强新改建农村道路项目申请工作。2024年已将荣家村1.6公里损毁严重的道路纳入交通部门工作计划，目前正在施工，预计于2024年8月上旬前完工。</w:t>
      </w:r>
      <w:r>
        <w:rPr>
          <w:rFonts w:hint="eastAsia"/>
          <w:b w:val="0"/>
          <w:bCs w:val="0"/>
          <w:lang w:eastAsia="zh-CN"/>
        </w:rPr>
        <w:t>九</w:t>
      </w:r>
      <w:r>
        <w:rPr>
          <w:rFonts w:hint="eastAsia"/>
          <w:b w:val="0"/>
          <w:bCs w:val="0"/>
        </w:rPr>
        <w:t>是积极申报财政一事一议农村道路修建计划，2024年已争取财政部门资金修建硬化道路10.5公里，已进入招投标环节。剩余未实现路面硬化道路将于2025年逐步整改完成。</w:t>
      </w:r>
      <w:r>
        <w:rPr>
          <w:rFonts w:hint="eastAsia"/>
          <w:b w:val="0"/>
          <w:lang w:eastAsia="zh-CN"/>
        </w:rPr>
        <w:t>十</w:t>
      </w:r>
      <w:r>
        <w:rPr>
          <w:rFonts w:hint="eastAsia"/>
          <w:b w:val="0"/>
        </w:rPr>
        <w:t>是镇政府已与铁路部门沟通对损坏围栏进行修复，同时加强对铁路沿线居民的教育提醒，增强群众安全意识，保障人民群众生命财产安全。</w:t>
      </w:r>
      <w:r>
        <w:rPr>
          <w:rFonts w:hint="eastAsia"/>
          <w:b w:val="0"/>
          <w:lang w:eastAsia="zh-CN"/>
        </w:rPr>
        <w:t>同时对</w:t>
      </w:r>
      <w:r>
        <w:rPr>
          <w:rFonts w:hint="eastAsia"/>
          <w:b w:val="0"/>
        </w:rPr>
        <w:t>西隈村渡口栈道进行修复，设立安全警示牌，保障渡口码头安全运行。</w:t>
      </w:r>
      <w:r>
        <w:rPr>
          <w:rFonts w:hint="eastAsia"/>
          <w:b w:val="0"/>
          <w:lang w:eastAsia="zh-CN"/>
        </w:rPr>
        <w:t>十一</w:t>
      </w:r>
      <w:r>
        <w:rPr>
          <w:rFonts w:hint="eastAsia"/>
          <w:b w:val="0"/>
        </w:rPr>
        <w:t>是镇政府举一反三，加大安全设施的管理力度，强化宣传引导，增强群众安全意识</w:t>
      </w:r>
      <w:r>
        <w:rPr>
          <w:rFonts w:hint="eastAsia"/>
          <w:b w:val="0"/>
          <w:lang w:eastAsia="zh-CN"/>
        </w:rPr>
        <w:t>。</w:t>
      </w:r>
    </w:p>
    <w:p w14:paraId="446C64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_GB2312" w:hAnsi="宋体"/>
        </w:rPr>
      </w:pPr>
      <w:r>
        <w:rPr>
          <w:rFonts w:hint="eastAsia"/>
        </w:rPr>
        <w:t>4.推动高质量发展方面存在弱项。</w:t>
      </w:r>
      <w:r>
        <w:rPr>
          <w:rFonts w:hint="eastAsia"/>
          <w:b w:val="0"/>
          <w:bCs w:val="0"/>
        </w:rPr>
        <w:t>一是注重加大“石城烧酒”的宣传推介力度，集中当地所有酒坊的生产力量，与国内一些知名品牌白酒厂家合作，提供原浆产品</w:t>
      </w:r>
      <w:r>
        <w:rPr>
          <w:rFonts w:hint="eastAsia"/>
          <w:b w:val="0"/>
          <w:bCs w:val="0"/>
          <w:lang w:eastAsia="zh-CN"/>
        </w:rPr>
        <w:t>。</w:t>
      </w:r>
      <w:r>
        <w:rPr>
          <w:rFonts w:hint="eastAsia"/>
          <w:b w:val="0"/>
          <w:bCs w:val="0"/>
        </w:rPr>
        <w:t>同时探索建设酒文化产业基地，或建设酒包装生产线和仓储物流等。目前已将该项目申报《丹东市绿色经济区发展重点项目》，形成有市场竞争力的白酒品牌。二是在农机生产方面积极组织农机生产企业踊跃参加省、市举办的各类产品交流会议，对外宣传本地农机产品的优势，扩大产品知名度。三是不断加强与企业的沟通联系，鼓励企业开展自主研发，改进产品类型、逐渐扩大产品市场竞争力，提升农机产品的市场知名度。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四</w:t>
      </w:r>
      <w:r>
        <w:rPr>
          <w:rFonts w:hint="eastAsia" w:ascii="仿宋_GB2312" w:hAnsi="仿宋_GB2312" w:cs="仿宋_GB2312"/>
          <w:b w:val="0"/>
          <w:bCs w:val="0"/>
        </w:rPr>
        <w:t>是与辽宁省科技学院旅游专业结对子，探讨旅游潜力工作，并做微信《石城旅游发展现状调查问卷》，集思广益，全力规划提高整体竞争力，积极打造本地旅游载体。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五</w:t>
      </w:r>
      <w:r>
        <w:rPr>
          <w:rFonts w:hint="eastAsia" w:ascii="仿宋_GB2312" w:hAnsi="仿宋_GB2312" w:cs="仿宋_GB2312"/>
          <w:b w:val="0"/>
          <w:bCs w:val="0"/>
        </w:rPr>
        <w:t>是成立旅游工作小组，研究镇内景区经营中存在的问题，帮助景区办理申报项目的实际困难。对接市文旅局等部门为太园景区争取政策扶持，加速申报进度。推动鸿运谷漂流项目升级和鸿运谷葫芦岛项目，创新经营模式，增设农家乐餐桌、果树采摘等配套式旅游设施，增强旅客旅游体验感。提升餐饮多样化特色化，打造全域旅游特色。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六</w:t>
      </w:r>
      <w:r>
        <w:rPr>
          <w:rFonts w:hint="eastAsia" w:ascii="仿宋_GB2312" w:hAnsi="仿宋_GB2312" w:cs="仿宋_GB2312"/>
          <w:b w:val="0"/>
          <w:bCs w:val="0"/>
        </w:rPr>
        <w:t>是加大宣传力度。制作旅游宣传片，建立视频公众号，设立专人进行镇域旅游的推介和宣传。</w:t>
      </w:r>
      <w:r>
        <w:rPr>
          <w:rFonts w:hint="eastAsia"/>
          <w:b w:val="0"/>
          <w:lang w:eastAsia="zh-CN"/>
        </w:rPr>
        <w:t>七是</w:t>
      </w:r>
      <w:r>
        <w:rPr>
          <w:rFonts w:hint="eastAsia" w:ascii="仿宋_GB2312" w:hAnsi="宋体"/>
          <w:b w:val="0"/>
          <w:bCs w:val="0"/>
        </w:rPr>
        <w:t>严格请销假制度，做好按点上下班，及时报备人员去向，做好首席接待。石城镇退役军人服务站已将未能及时发放的生活补助金发放到位。今后将全面统计辖区内复核身份人员的信息，并建立动态管理制度，提升便民服务质量和水平。</w:t>
      </w:r>
    </w:p>
    <w:p w14:paraId="4750A5A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_GB2312" w:hAnsi="宋体"/>
          <w:b w:val="0"/>
          <w:bCs w:val="0"/>
        </w:rPr>
      </w:pPr>
      <w:r>
        <w:rPr>
          <w:rFonts w:hint="eastAsia"/>
        </w:rPr>
        <w:t>5.乡村文明建设有待加强。</w:t>
      </w:r>
      <w:r>
        <w:rPr>
          <w:rFonts w:hint="eastAsia"/>
          <w:b w:val="0"/>
          <w:bCs w:val="0"/>
          <w:lang w:eastAsia="zh-CN"/>
        </w:rPr>
        <w:t>一是</w:t>
      </w:r>
      <w:r>
        <w:rPr>
          <w:rFonts w:hint="eastAsia"/>
          <w:b w:val="0"/>
          <w:bCs w:val="0"/>
        </w:rPr>
        <w:t>镇宣传和文化部门形成工作联动，组织镇村篮球赛、广场舞比赛等群众喜闻乐见的文体活动，丰富群众的业余文化生活，满足群众的精神文化需求，促进邻里和谐。为西隈村争取体育健身器材建设资金，完善健身设施。盘活农家书屋的学习资源，每周安排一天为村读书活动日，配备农家书屋管理员负责书籍借阅和介绍，对现有的书籍资源归类登记，方便群众查找借阅，定期对读书群众进行回访，及时了解群众对书籍的类别、内容等方面的诉求。</w:t>
      </w:r>
      <w:r>
        <w:rPr>
          <w:rFonts w:hint="eastAsia"/>
          <w:b w:val="0"/>
          <w:bCs/>
          <w:lang w:eastAsia="zh-CN"/>
        </w:rPr>
        <w:t>二</w:t>
      </w:r>
      <w:r>
        <w:rPr>
          <w:rFonts w:hint="eastAsia"/>
          <w:b w:val="0"/>
          <w:bCs/>
        </w:rPr>
        <w:t>是</w:t>
      </w:r>
      <w:r>
        <w:rPr>
          <w:rFonts w:hint="eastAsia"/>
          <w:b w:val="0"/>
        </w:rPr>
        <w:t>镇党委组织</w:t>
      </w:r>
      <w:r>
        <w:rPr>
          <w:rFonts w:hint="eastAsia" w:ascii="仿宋_GB2312" w:hAnsi="宋体"/>
          <w:b w:val="0"/>
          <w:bCs w:val="0"/>
        </w:rPr>
        <w:t>各村召开村规民约会议，控制大操大办之风，对党员干部进行学习，起到带头作用。</w:t>
      </w:r>
      <w:r>
        <w:rPr>
          <w:rFonts w:hint="eastAsia" w:ascii="仿宋_GB2312" w:hAnsi="宋体"/>
          <w:b w:val="0"/>
          <w:bCs w:val="0"/>
          <w:lang w:eastAsia="zh-CN"/>
        </w:rPr>
        <w:t>三</w:t>
      </w:r>
      <w:r>
        <w:rPr>
          <w:rFonts w:hint="eastAsia" w:ascii="仿宋_GB2312" w:hAnsi="宋体"/>
          <w:b w:val="0"/>
          <w:bCs w:val="0"/>
        </w:rPr>
        <w:t>是由镇纪委牵头，结合党纪学习教育，对全镇党员干部进行警示教育和思想引导，摒弃旧风，加大宣传社会主义核心价值观，引领广大党员和群众文明新风尚。</w:t>
      </w:r>
    </w:p>
    <w:p w14:paraId="6581F63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（二）履行从严治党主体责任有差距，廉政风险防控存在薄弱环节</w:t>
      </w:r>
    </w:p>
    <w:p w14:paraId="2CD7D9F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baseline"/>
        <w:rPr>
          <w:rFonts w:ascii="仿宋_GB2312" w:hAnsi="宋体"/>
        </w:rPr>
      </w:pPr>
      <w:r>
        <w:rPr>
          <w:rFonts w:hint="eastAsia"/>
          <w:bCs w:val="0"/>
        </w:rPr>
        <w:t>1.落实党风廉政建设责任制存在弱项。</w:t>
      </w:r>
      <w:r>
        <w:rPr>
          <w:rFonts w:hint="eastAsia"/>
          <w:b w:val="0"/>
          <w:bCs/>
        </w:rPr>
        <w:t>一是</w:t>
      </w:r>
      <w:r>
        <w:rPr>
          <w:rFonts w:hint="eastAsia"/>
          <w:b w:val="0"/>
        </w:rPr>
        <w:t>镇党委进一步健全和落实履行全面从严治党主体责任清单，每半年召开一次专题全面从严治党分析研判会议，听取班子成员履行全面从严治党主体责任情况报告，</w:t>
      </w:r>
      <w:r>
        <w:rPr>
          <w:rFonts w:hint="eastAsia" w:ascii="仿宋_GB2312" w:hAnsi="宋体"/>
          <w:b w:val="0"/>
          <w:bCs w:val="0"/>
        </w:rPr>
        <w:t>研判下步工作计划，切实把从严治党工作落到实处。二是每年年初制定《全面从严治党责任工作要点和责任分工》，班子成员履行好“一岗双责”，定期开展谈心谈话；加强日常监管，规范权力运行，防范腐败问题发生。三是班子成员做好分管领域的业务和党风廉政建设两手抓，充分发挥“关键少数”作用，确保石城党政工作齐头并进。今年以来，党委书记开展集体谈心谈话2次，班子成员在重要时间节点与分管部门人员开展定期谈心谈话2次。</w:t>
      </w:r>
      <w:r>
        <w:rPr>
          <w:rFonts w:hint="eastAsia" w:ascii="仿宋_GB2312" w:hAnsi="宋体"/>
          <w:b w:val="0"/>
          <w:bCs w:val="0"/>
          <w:lang w:eastAsia="zh-CN"/>
        </w:rPr>
        <w:t>四是</w:t>
      </w:r>
      <w:r>
        <w:rPr>
          <w:rFonts w:hint="eastAsia" w:ascii="仿宋_GB2312" w:hAnsi="宋体"/>
          <w:b w:val="0"/>
          <w:bCs w:val="0"/>
        </w:rPr>
        <w:t>严格贯彻落实市纪委对开展警示教育活动的工作要求，确保各村党支部每年至少开展1次警示教育活动。加强对警示教育的重视和宣传，提高村级党支部书记对开展警示教育活动重要性的认识。将警示教育作为对党员深化思想认识、改进作风的重要途径。注重开展典型案例、大案要案警示教育，引导党员深入分析原因、吸取教育，通过开展警示教育活动的方式，对党员进行思想意识、思想道德、行为规范等方面进行教育和引导，已达到警醒、纠错的目的。</w:t>
      </w:r>
    </w:p>
    <w:p w14:paraId="23B3545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b w:val="0"/>
          <w:bCs w:val="0"/>
        </w:rPr>
      </w:pPr>
      <w:r>
        <w:rPr>
          <w:rFonts w:hint="eastAsia"/>
        </w:rPr>
        <w:t>2.村集体“三资”管理制度履行还有不足。</w:t>
      </w:r>
      <w:r>
        <w:rPr>
          <w:rFonts w:hint="eastAsia"/>
          <w:b w:val="0"/>
          <w:bCs w:val="0"/>
        </w:rPr>
        <w:t>一是加强培训。就《凤城市农村集体资金资产资源管理制度》特别是以“支付1000元以上等业务须采用转账结算方式”“单笔超过10000元的财务支出要向乡镇代理中心提出书面报告”内容为重点，对村党组织书记、村委会主任进行专题培训，并将财务工作培训纳入村干部培训内容。二是健全制度。今后单笔千元以上支出</w:t>
      </w:r>
      <w:r>
        <w:rPr>
          <w:rFonts w:hint="eastAsia"/>
          <w:b w:val="0"/>
          <w:bCs w:val="0"/>
          <w:lang w:eastAsia="zh-CN"/>
        </w:rPr>
        <w:t>必须</w:t>
      </w:r>
      <w:r>
        <w:rPr>
          <w:rFonts w:hint="eastAsia"/>
          <w:b w:val="0"/>
          <w:bCs w:val="0"/>
        </w:rPr>
        <w:t>通过银行打卡转账支付，并附银行打卡记录。单笔过万以上支出要提前向代理中心提出书面报告再进行转账支出。截至目前，无类似问题再次发生。</w:t>
      </w:r>
    </w:p>
    <w:p w14:paraId="67579E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</w:pPr>
      <w:r>
        <w:rPr>
          <w:rFonts w:hint="eastAsia"/>
        </w:rPr>
        <w:t>3.“四议一审两公开”制度未完全落实。</w:t>
      </w:r>
      <w:r>
        <w:rPr>
          <w:rFonts w:hint="eastAsia"/>
          <w:b w:val="0"/>
          <w:bCs w:val="0"/>
        </w:rPr>
        <w:t>一是明确“四议一审两公开”制度的内容，针对大额支出各村务必要按照规定顺序进行落实。二是开展业务培训，明确民主议定书的决策内容、决策形式、决策程序。镇相关部门加强对各村民主议定书的审核和监督，对于民主议定书代签、内容一致等情况进行整改和退回。</w:t>
      </w:r>
    </w:p>
    <w:p w14:paraId="1BC707A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（三）党建工作基础有待夯实，党员队伍建设需要提升</w:t>
      </w:r>
      <w:bookmarkStart w:id="0" w:name="_GoBack"/>
      <w:bookmarkEnd w:id="0"/>
    </w:p>
    <w:p w14:paraId="7C0FDB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b w:val="0"/>
          <w:bCs w:val="0"/>
        </w:rPr>
      </w:pPr>
      <w:r>
        <w:rPr>
          <w:rFonts w:hint="eastAsia"/>
        </w:rPr>
        <w:t>1.党组织工作责任制落实不够扎实。</w:t>
      </w:r>
      <w:r>
        <w:rPr>
          <w:rFonts w:hint="eastAsia"/>
          <w:b w:val="0"/>
          <w:bCs w:val="0"/>
          <w:lang w:eastAsia="zh-CN"/>
        </w:rPr>
        <w:t>一是</w:t>
      </w:r>
      <w:r>
        <w:rPr>
          <w:rFonts w:hint="eastAsia"/>
          <w:b w:val="0"/>
          <w:bCs w:val="0"/>
        </w:rPr>
        <w:t>切实加大基层党建工作指导力度，完善工作制度和监督指导制度，采取集中培训、“一对一”指导、定期检查和不定期抽检等形式，对发现的问题及时纠正，进一步提升基层党建工作水平和质量。</w:t>
      </w:r>
      <w:r>
        <w:rPr>
          <w:rFonts w:hint="eastAsia"/>
          <w:b w:val="0"/>
          <w:bCs w:val="0"/>
          <w:lang w:eastAsia="zh-CN"/>
        </w:rPr>
        <w:t>二是</w:t>
      </w:r>
      <w:r>
        <w:rPr>
          <w:rFonts w:hint="eastAsia"/>
          <w:b w:val="0"/>
          <w:bCs w:val="0"/>
        </w:rPr>
        <w:t>镇党委将着重培养后备干部，坚持“能者上、劣者下”原则，对村“两委”干部队伍建设实施评议考核和动态管理，对作用发挥不明显的人员及时调整，确保各村“两委”成员履职尽责到位，充分发挥各支部在党的建设和振兴发展上的堡垒作用。</w:t>
      </w:r>
    </w:p>
    <w:p w14:paraId="6F4DB9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b w:val="0"/>
          <w:bCs w:val="0"/>
        </w:rPr>
      </w:pPr>
      <w:r>
        <w:rPr>
          <w:rFonts w:hint="eastAsia"/>
        </w:rPr>
        <w:t>2.党支部规范化建设存在差距。</w:t>
      </w:r>
      <w:r>
        <w:rPr>
          <w:rFonts w:hint="eastAsia"/>
          <w:b w:val="0"/>
          <w:bCs w:val="0"/>
        </w:rPr>
        <w:t>一是规范支部议事规则，严格按照支部议事规范要求，合理研究议定支部范围内重大事项，不越界、不越权。二是严肃“四议一审两公开”工作标准，坚决杜绝形式主义，切实发挥议事制度作用，维护好广大群众的切身利益。</w:t>
      </w:r>
    </w:p>
    <w:p w14:paraId="4E73D0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</w:rPr>
        <w:t>二</w:t>
      </w:r>
      <w:r>
        <w:rPr>
          <w:rFonts w:hint="eastAsia" w:ascii="黑体" w:hAnsi="黑体" w:eastAsia="黑体" w:cs="黑体"/>
        </w:rPr>
        <w:t>、下一步工作打算及安排</w:t>
      </w:r>
    </w:p>
    <w:p w14:paraId="0861403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firstLine="640"/>
        <w:rPr>
          <w:rFonts w:ascii="仿宋_GB2312" w:hAnsi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</w:rPr>
        <w:t>镇党委认真贯彻落实市委巡察工作要求，于3月29日召开党委班子巡察整改民主生活会，开展批评与自我批评，进一步增强管党治党意识，落实管党治党责任，坚持目标不变、标准不降、力度不减，持续深入抓好市委巡察反馈意见整改工作，切实把整改成果运用到各项工作中。</w:t>
      </w:r>
    </w:p>
    <w:p w14:paraId="20A536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rPr>
          <w:rFonts w:ascii="仿宋_GB2312" w:hAnsi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（一）围绕问题，持之以恒促整改。</w:t>
      </w:r>
      <w:r>
        <w:rPr>
          <w:rFonts w:hint="eastAsia" w:ascii="仿宋_GB2312" w:hAnsi="仿宋_GB2312" w:cs="仿宋_GB2312"/>
          <w:b w:val="0"/>
          <w:bCs w:val="0"/>
        </w:rPr>
        <w:t>针对反馈存在问题，落实“两个责任”，始终保持“巡察结束、整改持续”的高压态势，紧紧抓住市委反馈意见，坚决突出问题导向，坚持重点不变、标准不降、力度不减、持之以恒抓整改，用好监督执纪“四种形态”，推进全面从严治党从宽松软走向严紧硬，确保市委巡察反馈意见落地生根，开花结果。</w:t>
      </w:r>
    </w:p>
    <w:p w14:paraId="689FFC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rPr>
          <w:rFonts w:ascii="仿宋_GB2312" w:hAnsi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（二）聚焦整改，坚持不懈抓督查。</w:t>
      </w:r>
      <w:r>
        <w:rPr>
          <w:rFonts w:hint="eastAsia" w:ascii="仿宋_GB2312" w:hAnsi="仿宋_GB2312" w:cs="仿宋_GB2312"/>
          <w:b w:val="0"/>
          <w:bCs w:val="0"/>
        </w:rPr>
        <w:t>围绕存在问题，深入剖析问题产生根源“症结”，在立足“治标”、实施“立改”的同时，坚持常抓不懈，确保反馈意见件件落实到位，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对已经整改的问题，重点实行“回头看”督查，对整改后发现的新问题“再深挖”，对整改效果不彻底的问题“再整改”，坚决防止问题反弹回潮</w:t>
      </w: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>，</w:t>
      </w:r>
      <w:r>
        <w:rPr>
          <w:rFonts w:hint="eastAsia" w:ascii="仿宋_GB2312" w:hAnsi="仿宋_GB2312" w:cs="仿宋_GB2312"/>
          <w:b w:val="0"/>
          <w:bCs w:val="0"/>
        </w:rPr>
        <w:t>主动接受监督，确保巡察整改成效经得起实践和群众的检验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。</w:t>
      </w:r>
    </w:p>
    <w:p w14:paraId="7A5E77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rPr>
          <w:rFonts w:ascii="仿宋_GB2312" w:hAnsi="宋体" w:cs="仿宋_GB2312"/>
          <w:sz w:val="31"/>
          <w:szCs w:val="31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（三）常态督查，坚定不移保长效。</w:t>
      </w:r>
      <w:r>
        <w:rPr>
          <w:rFonts w:hint="eastAsia" w:ascii="仿宋_GB2312" w:hAnsi="仿宋_GB2312" w:cs="仿宋_GB2312"/>
          <w:b w:val="0"/>
          <w:bCs w:val="0"/>
        </w:rPr>
        <w:t>加强建章立制，巩固扩大整改成果，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以</w:t>
      </w: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>问题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整改推动思路提升、以</w:t>
      </w: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>问题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整改推动事业发展、以</w:t>
      </w: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>问题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整改推动作风改良，实现</w:t>
      </w: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>问题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整改成果的最大化。深刻把握</w:t>
      </w: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>问题</w:t>
      </w:r>
      <w:r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  <w:t>整改契机，结合工作实际，对共性倾向性问题深入研判分析，找准根源漏洞，健全规章制度，切实做到治标又治本。</w:t>
      </w:r>
    </w:p>
    <w:p w14:paraId="71DB17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/>
        <w:rPr>
          <w:rFonts w:ascii="仿宋_GB2312" w:hAnsi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</w:rPr>
        <w:t>欢迎广大干部群众对巡察整改落实情况进行监督。如有意见建议，请及时向我们反映。联系方式：电话8671565。</w:t>
      </w:r>
    </w:p>
    <w:p w14:paraId="20369EE6">
      <w:pPr>
        <w:pStyle w:val="1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2"/>
        <w:rPr>
          <w:rFonts w:ascii="仿宋_GB2312" w:hAnsi="宋体" w:cs="仿宋_GB2312"/>
          <w:sz w:val="31"/>
          <w:szCs w:val="31"/>
          <w:shd w:val="clear" w:color="auto" w:fill="FFFFFF"/>
        </w:rPr>
      </w:pPr>
    </w:p>
    <w:p w14:paraId="558E3236">
      <w:pPr>
        <w:pStyle w:val="1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0" w:firstLineChars="0"/>
        <w:rPr>
          <w:rFonts w:ascii="仿宋_GB2312" w:hAnsi="宋体" w:cs="仿宋_GB2312"/>
          <w:sz w:val="31"/>
          <w:szCs w:val="31"/>
          <w:shd w:val="clear" w:color="auto" w:fill="FFFFFF"/>
        </w:rPr>
      </w:pPr>
    </w:p>
    <w:p w14:paraId="070421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right="620" w:firstLine="620"/>
        <w:jc w:val="center"/>
        <w:rPr>
          <w:rFonts w:ascii="仿宋_GB2312" w:hAnsi="宋体" w:cs="仿宋_GB2312"/>
          <w:b w:val="0"/>
          <w:bCs w:val="0"/>
          <w:shd w:val="clear" w:color="auto" w:fill="FFFFFF"/>
        </w:rPr>
      </w:pPr>
      <w:r>
        <w:rPr>
          <w:rFonts w:hint="eastAsia" w:ascii="仿宋_GB2312" w:hAnsi="宋体" w:cs="仿宋_GB2312"/>
          <w:b w:val="0"/>
          <w:bCs w:val="0"/>
          <w:sz w:val="31"/>
          <w:szCs w:val="31"/>
          <w:shd w:val="clear" w:color="auto" w:fill="FFFFFF"/>
        </w:rPr>
        <w:t xml:space="preserve">                </w:t>
      </w:r>
      <w:r>
        <w:rPr>
          <w:rFonts w:hint="eastAsia" w:ascii="仿宋_GB2312" w:hAnsi="宋体" w:cs="仿宋_GB2312"/>
          <w:b w:val="0"/>
          <w:bCs w:val="0"/>
          <w:shd w:val="clear" w:color="auto" w:fill="FFFFFF"/>
        </w:rPr>
        <w:t>中共凤城市石城镇委员会</w:t>
      </w:r>
    </w:p>
    <w:p w14:paraId="3731736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4502" w:firstLineChars="1407"/>
        <w:rPr>
          <w:rFonts w:ascii="仿宋_GB2312" w:hAnsi="宋体" w:cs="仿宋_GB2312"/>
          <w:b w:val="0"/>
          <w:bCs w:val="0"/>
          <w:shd w:val="clear" w:color="auto" w:fill="FFFFFF"/>
        </w:rPr>
      </w:pPr>
      <w:r>
        <w:rPr>
          <w:rFonts w:hint="eastAsia" w:ascii="仿宋_GB2312" w:hAnsi="宋体" w:cs="仿宋_GB2312"/>
          <w:b w:val="0"/>
          <w:bCs w:val="0"/>
          <w:shd w:val="clear" w:color="auto" w:fill="FFFFFF"/>
        </w:rPr>
        <w:t>2024年8月12日</w:t>
      </w:r>
    </w:p>
    <w:p w14:paraId="385C26B5">
      <w:pPr>
        <w:spacing w:line="578" w:lineRule="exact"/>
        <w:ind w:firstLine="0" w:firstLineChars="0"/>
        <w:rPr>
          <w:rFonts w:ascii="仿宋_GB2312" w:hAnsi="宋体" w:cs="仿宋_GB2312"/>
          <w:b w:val="0"/>
          <w:bCs w:val="0"/>
          <w:sz w:val="31"/>
          <w:szCs w:val="31"/>
          <w:shd w:val="clear" w:color="auto" w:fill="FFFF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814" w:left="1588" w:header="851" w:footer="992" w:gutter="0"/>
      <w:cols w:space="720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67F47">
    <w:pPr>
      <w:pStyle w:val="4"/>
      <w:ind w:firstLine="361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B058594">
                <w:pPr>
                  <w:pStyle w:val="4"/>
                  <w:ind w:firstLine="482"/>
                  <w:rPr>
                    <w:rFonts w:ascii="仿宋_GB2312" w:hAnsi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t>14</w:t>
                </w:r>
                <w:r>
                  <w:rPr>
                    <w:rFonts w:hint="eastAsia" w:ascii="仿宋_GB2312" w:hAnsi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8E65">
    <w:pPr>
      <w:pStyle w:val="4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19CCF">
    <w:pPr>
      <w:pStyle w:val="4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EF506">
    <w:pPr>
      <w:pStyle w:val="5"/>
      <w:pBdr>
        <w:bottom w:val="none" w:color="auto" w:sz="0" w:space="1"/>
      </w:pBdr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13DE0">
    <w:pPr>
      <w:pStyle w:val="5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1B5CD">
    <w:pPr>
      <w:pStyle w:val="5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321"/>
  <w:drawingGridVerticalSpacing w:val="437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iMGZiNDNhYTJjM2YyMWU4M2Q0NWZlYWQ4MWJhMmYifQ=="/>
  </w:docVars>
  <w:rsids>
    <w:rsidRoot w:val="50666FA3"/>
    <w:rsid w:val="00026CDD"/>
    <w:rsid w:val="00033E74"/>
    <w:rsid w:val="00042BEF"/>
    <w:rsid w:val="00063206"/>
    <w:rsid w:val="000679D0"/>
    <w:rsid w:val="00090824"/>
    <w:rsid w:val="000979E8"/>
    <w:rsid w:val="000C2EF6"/>
    <w:rsid w:val="000C394B"/>
    <w:rsid w:val="000E0DB5"/>
    <w:rsid w:val="00100291"/>
    <w:rsid w:val="001265D9"/>
    <w:rsid w:val="00162D8E"/>
    <w:rsid w:val="001C27A0"/>
    <w:rsid w:val="002045FD"/>
    <w:rsid w:val="00265C1A"/>
    <w:rsid w:val="00273D96"/>
    <w:rsid w:val="00296C64"/>
    <w:rsid w:val="002A6AAA"/>
    <w:rsid w:val="002B6418"/>
    <w:rsid w:val="00317243"/>
    <w:rsid w:val="00324636"/>
    <w:rsid w:val="0033512A"/>
    <w:rsid w:val="00363619"/>
    <w:rsid w:val="00382810"/>
    <w:rsid w:val="003A28E8"/>
    <w:rsid w:val="003A764F"/>
    <w:rsid w:val="003B02DE"/>
    <w:rsid w:val="004047AB"/>
    <w:rsid w:val="00432168"/>
    <w:rsid w:val="004503FF"/>
    <w:rsid w:val="004643F8"/>
    <w:rsid w:val="00481283"/>
    <w:rsid w:val="004D14E3"/>
    <w:rsid w:val="004E2708"/>
    <w:rsid w:val="004F3985"/>
    <w:rsid w:val="00535E78"/>
    <w:rsid w:val="0054714C"/>
    <w:rsid w:val="0055400E"/>
    <w:rsid w:val="00597C90"/>
    <w:rsid w:val="005A24B8"/>
    <w:rsid w:val="005C0C87"/>
    <w:rsid w:val="005D78E6"/>
    <w:rsid w:val="005E778E"/>
    <w:rsid w:val="00653574"/>
    <w:rsid w:val="006852EA"/>
    <w:rsid w:val="00686303"/>
    <w:rsid w:val="0069321A"/>
    <w:rsid w:val="006A28E0"/>
    <w:rsid w:val="006D4793"/>
    <w:rsid w:val="007035DB"/>
    <w:rsid w:val="007138AC"/>
    <w:rsid w:val="00734021"/>
    <w:rsid w:val="00734CDB"/>
    <w:rsid w:val="00782E64"/>
    <w:rsid w:val="007D3C07"/>
    <w:rsid w:val="007E2F49"/>
    <w:rsid w:val="00821556"/>
    <w:rsid w:val="008325C9"/>
    <w:rsid w:val="008378AF"/>
    <w:rsid w:val="00841017"/>
    <w:rsid w:val="0084463F"/>
    <w:rsid w:val="00846FE0"/>
    <w:rsid w:val="008509FF"/>
    <w:rsid w:val="00865B87"/>
    <w:rsid w:val="0086663C"/>
    <w:rsid w:val="00871428"/>
    <w:rsid w:val="00871ACF"/>
    <w:rsid w:val="008762F9"/>
    <w:rsid w:val="00894DBA"/>
    <w:rsid w:val="008A51B1"/>
    <w:rsid w:val="008C2BB7"/>
    <w:rsid w:val="009009F7"/>
    <w:rsid w:val="00903A8F"/>
    <w:rsid w:val="009042B9"/>
    <w:rsid w:val="00922B40"/>
    <w:rsid w:val="009434F8"/>
    <w:rsid w:val="00963EC7"/>
    <w:rsid w:val="00A03074"/>
    <w:rsid w:val="00A239AC"/>
    <w:rsid w:val="00A33C4E"/>
    <w:rsid w:val="00A43715"/>
    <w:rsid w:val="00A701BA"/>
    <w:rsid w:val="00A90D45"/>
    <w:rsid w:val="00B121F9"/>
    <w:rsid w:val="00B30EEE"/>
    <w:rsid w:val="00B33B6F"/>
    <w:rsid w:val="00B54E50"/>
    <w:rsid w:val="00B81ADF"/>
    <w:rsid w:val="00B8400E"/>
    <w:rsid w:val="00B95366"/>
    <w:rsid w:val="00BA2984"/>
    <w:rsid w:val="00BA6FF1"/>
    <w:rsid w:val="00BC7592"/>
    <w:rsid w:val="00C178B0"/>
    <w:rsid w:val="00C2765E"/>
    <w:rsid w:val="00C42FAB"/>
    <w:rsid w:val="00C46C4F"/>
    <w:rsid w:val="00C63017"/>
    <w:rsid w:val="00C6622A"/>
    <w:rsid w:val="00CB3007"/>
    <w:rsid w:val="00CB5934"/>
    <w:rsid w:val="00CE6AC1"/>
    <w:rsid w:val="00D441DF"/>
    <w:rsid w:val="00D56FE5"/>
    <w:rsid w:val="00D86933"/>
    <w:rsid w:val="00D95364"/>
    <w:rsid w:val="00DE3E2A"/>
    <w:rsid w:val="00E139D8"/>
    <w:rsid w:val="00E15A3C"/>
    <w:rsid w:val="00E4369F"/>
    <w:rsid w:val="00E504B0"/>
    <w:rsid w:val="00E637D9"/>
    <w:rsid w:val="00E97FF1"/>
    <w:rsid w:val="00EA4117"/>
    <w:rsid w:val="00EE7BB3"/>
    <w:rsid w:val="00F0564C"/>
    <w:rsid w:val="00F12ADD"/>
    <w:rsid w:val="00F60C83"/>
    <w:rsid w:val="00F70795"/>
    <w:rsid w:val="00F80C56"/>
    <w:rsid w:val="023465EB"/>
    <w:rsid w:val="0340465E"/>
    <w:rsid w:val="03685798"/>
    <w:rsid w:val="03740C23"/>
    <w:rsid w:val="041E64BA"/>
    <w:rsid w:val="04CB4B16"/>
    <w:rsid w:val="054B6083"/>
    <w:rsid w:val="06376AE6"/>
    <w:rsid w:val="0690749C"/>
    <w:rsid w:val="07097CB3"/>
    <w:rsid w:val="07226CD1"/>
    <w:rsid w:val="08D9075E"/>
    <w:rsid w:val="098343E5"/>
    <w:rsid w:val="09840AFC"/>
    <w:rsid w:val="09A70AB9"/>
    <w:rsid w:val="0BA93AF1"/>
    <w:rsid w:val="0BD64F01"/>
    <w:rsid w:val="0C126C56"/>
    <w:rsid w:val="0DDD0AA6"/>
    <w:rsid w:val="0E316003"/>
    <w:rsid w:val="0FB029A1"/>
    <w:rsid w:val="10FF6DA4"/>
    <w:rsid w:val="114E64B5"/>
    <w:rsid w:val="11515D6B"/>
    <w:rsid w:val="119412DD"/>
    <w:rsid w:val="13521FAE"/>
    <w:rsid w:val="14CF4495"/>
    <w:rsid w:val="15587B82"/>
    <w:rsid w:val="16600516"/>
    <w:rsid w:val="1824217E"/>
    <w:rsid w:val="1A0C4C78"/>
    <w:rsid w:val="1C5536E6"/>
    <w:rsid w:val="1C7275DA"/>
    <w:rsid w:val="1D3C4A05"/>
    <w:rsid w:val="1DAA6322"/>
    <w:rsid w:val="1F772C67"/>
    <w:rsid w:val="218A7714"/>
    <w:rsid w:val="234307D2"/>
    <w:rsid w:val="24885842"/>
    <w:rsid w:val="25981E69"/>
    <w:rsid w:val="26B80661"/>
    <w:rsid w:val="26BE0B56"/>
    <w:rsid w:val="2865001A"/>
    <w:rsid w:val="28720E12"/>
    <w:rsid w:val="29FC33E9"/>
    <w:rsid w:val="2A2350B8"/>
    <w:rsid w:val="2A282A72"/>
    <w:rsid w:val="2ABC6796"/>
    <w:rsid w:val="2BEB623E"/>
    <w:rsid w:val="2BFD76DA"/>
    <w:rsid w:val="2D5C54D8"/>
    <w:rsid w:val="2E435C41"/>
    <w:rsid w:val="2E5B22E2"/>
    <w:rsid w:val="2F5D7AE5"/>
    <w:rsid w:val="30305B1B"/>
    <w:rsid w:val="30564A47"/>
    <w:rsid w:val="31310244"/>
    <w:rsid w:val="315D4F3C"/>
    <w:rsid w:val="31C91B89"/>
    <w:rsid w:val="32862DF6"/>
    <w:rsid w:val="3320522A"/>
    <w:rsid w:val="333A4D20"/>
    <w:rsid w:val="334D0383"/>
    <w:rsid w:val="34BC3C24"/>
    <w:rsid w:val="34D60FCC"/>
    <w:rsid w:val="35584DBD"/>
    <w:rsid w:val="35C72C49"/>
    <w:rsid w:val="379E43A2"/>
    <w:rsid w:val="37AD5878"/>
    <w:rsid w:val="38A32ABE"/>
    <w:rsid w:val="38CC198C"/>
    <w:rsid w:val="39904B26"/>
    <w:rsid w:val="3AA259BF"/>
    <w:rsid w:val="3C2B236A"/>
    <w:rsid w:val="3CB3582A"/>
    <w:rsid w:val="3CC05722"/>
    <w:rsid w:val="3D080C52"/>
    <w:rsid w:val="3E2B4A21"/>
    <w:rsid w:val="3F1A1142"/>
    <w:rsid w:val="3FD02685"/>
    <w:rsid w:val="42811B6F"/>
    <w:rsid w:val="440F53AF"/>
    <w:rsid w:val="442A5324"/>
    <w:rsid w:val="4430753C"/>
    <w:rsid w:val="460E5CD6"/>
    <w:rsid w:val="463A4797"/>
    <w:rsid w:val="4856518C"/>
    <w:rsid w:val="48D609F6"/>
    <w:rsid w:val="4AFE4AE2"/>
    <w:rsid w:val="503243BE"/>
    <w:rsid w:val="50407B31"/>
    <w:rsid w:val="50666FA3"/>
    <w:rsid w:val="50B4059F"/>
    <w:rsid w:val="51BA4932"/>
    <w:rsid w:val="52584580"/>
    <w:rsid w:val="54910839"/>
    <w:rsid w:val="54B44945"/>
    <w:rsid w:val="55AB16BB"/>
    <w:rsid w:val="55D578CB"/>
    <w:rsid w:val="55E80B4B"/>
    <w:rsid w:val="578C6CD6"/>
    <w:rsid w:val="57DF45BE"/>
    <w:rsid w:val="5835523D"/>
    <w:rsid w:val="58B90A8B"/>
    <w:rsid w:val="595B4CF8"/>
    <w:rsid w:val="59B937CD"/>
    <w:rsid w:val="59F875D8"/>
    <w:rsid w:val="5A76552B"/>
    <w:rsid w:val="5B8E6FC0"/>
    <w:rsid w:val="5CBD13E9"/>
    <w:rsid w:val="5FA334EF"/>
    <w:rsid w:val="5FC04022"/>
    <w:rsid w:val="5FF06634"/>
    <w:rsid w:val="60994A55"/>
    <w:rsid w:val="60A0325C"/>
    <w:rsid w:val="60D60788"/>
    <w:rsid w:val="619A155F"/>
    <w:rsid w:val="61A812DB"/>
    <w:rsid w:val="61CC0CA1"/>
    <w:rsid w:val="624B5957"/>
    <w:rsid w:val="63BA3952"/>
    <w:rsid w:val="64AD4FFD"/>
    <w:rsid w:val="6685798F"/>
    <w:rsid w:val="6694637B"/>
    <w:rsid w:val="66D35813"/>
    <w:rsid w:val="67804F03"/>
    <w:rsid w:val="68055D20"/>
    <w:rsid w:val="6A36052F"/>
    <w:rsid w:val="6AA44E88"/>
    <w:rsid w:val="6B3873F1"/>
    <w:rsid w:val="6FC565D0"/>
    <w:rsid w:val="701E6BA8"/>
    <w:rsid w:val="7088334B"/>
    <w:rsid w:val="70A073F5"/>
    <w:rsid w:val="70AA501D"/>
    <w:rsid w:val="71566CD7"/>
    <w:rsid w:val="71771CD2"/>
    <w:rsid w:val="73781BAB"/>
    <w:rsid w:val="74AB5840"/>
    <w:rsid w:val="752124FA"/>
    <w:rsid w:val="759732C7"/>
    <w:rsid w:val="76735FC0"/>
    <w:rsid w:val="777819B6"/>
    <w:rsid w:val="78257538"/>
    <w:rsid w:val="7AA4779C"/>
    <w:rsid w:val="7B156FCD"/>
    <w:rsid w:val="7B8657AD"/>
    <w:rsid w:val="7EAD530E"/>
    <w:rsid w:val="7EE07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缩进1"/>
    <w:basedOn w:val="1"/>
    <w:next w:val="2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</w:rPr>
  </w:style>
  <w:style w:type="paragraph" w:customStyle="1" w:styleId="10">
    <w:name w:val="0正文"/>
    <w:next w:val="7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1">
    <w:name w:val="BodyText"/>
    <w:basedOn w:val="1"/>
    <w:next w:val="1"/>
    <w:qFormat/>
    <w:uiPriority w:val="0"/>
    <w:pPr>
      <w:spacing w:after="120"/>
      <w:textAlignment w:val="baseline"/>
    </w:pPr>
    <w:rPr>
      <w:rFonts w:ascii="仿宋_GB2312" w:hAnsi="宋体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正文-公1"/>
    <w:basedOn w:val="1"/>
    <w:qFormat/>
    <w:uiPriority w:val="0"/>
    <w:pPr>
      <w:tabs>
        <w:tab w:val="center" w:pos="4153"/>
        <w:tab w:val="right" w:pos="8306"/>
      </w:tabs>
      <w:ind w:firstLine="200"/>
    </w:pPr>
    <w:rPr>
      <w:szCs w:val="20"/>
    </w:rPr>
  </w:style>
  <w:style w:type="paragraph" w:styleId="1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98C7B-EB98-4756-B814-40B420BB9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4632</Words>
  <Characters>4709</Characters>
  <Lines>50</Lines>
  <Paragraphs>14</Paragraphs>
  <TotalTime>12</TotalTime>
  <ScaleCrop>false</ScaleCrop>
  <LinksUpToDate>false</LinksUpToDate>
  <CharactersWithSpaces>4726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2024-07-04T06:36:00Z</dcterms:created>
  <dc:creator>今天</dc:creator>
  <cp:lastModifiedBy>Sherry Rose</cp:lastModifiedBy>
  <cp:lastPrinted>2024-08-21T08:10:00Z</cp:lastPrinted>
  <dcterms:modified xsi:type="dcterms:W3CDTF">2025-04-27T00:59:41Z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15F0710578ED42E0A24464DDAF95B259_13</vt:lpwstr>
  </property>
</Properties>
</file>