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bookmarkStart w:id="0" w:name="_Toc22085"/>
      <w:bookmarkStart w:id="1" w:name="_Toc2041"/>
      <w:bookmarkStart w:id="2" w:name="_Toc26940"/>
      <w:r>
        <w:rPr>
          <w:rFonts w:hint="eastAsia" w:ascii="Times New Roman" w:hAnsi="Times New Roman" w:eastAsia="方正小标宋简体"/>
          <w:sz w:val="44"/>
          <w:szCs w:val="44"/>
        </w:rPr>
        <w:t>中共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丹东市元宝区</w:t>
      </w:r>
      <w:r>
        <w:rPr>
          <w:rFonts w:hint="eastAsia" w:ascii="Times New Roman" w:hAnsi="Times New Roman" w:eastAsia="方正小标宋简体"/>
          <w:sz w:val="44"/>
          <w:szCs w:val="44"/>
        </w:rPr>
        <w:t>兴东街道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工作委员会</w:t>
      </w:r>
    </w:p>
    <w:p>
      <w:pPr>
        <w:widowControl w:val="0"/>
        <w:wordWrap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4"/>
          <w:szCs w:val="3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关于市委巡察整改落实进展情况的通报</w:t>
      </w:r>
    </w:p>
    <w:p>
      <w:pPr>
        <w:widowControl w:val="0"/>
        <w:wordWrap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4"/>
          <w:szCs w:val="34"/>
        </w:rPr>
      </w:pP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根据市委和市委巡察工作领导小组统一部署，2023年9月25日至12月29日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市委第二巡察组对兴东街道进行了巡察。2024年2月28日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市委第二巡察组向兴东街道反馈了巡察意见。根据《巡视工作条例》有关要求，现将巡察整改情况予以公布。</w:t>
      </w:r>
    </w:p>
    <w:p>
      <w:pPr>
        <w:widowControl w:val="0"/>
        <w:wordWrap/>
        <w:adjustRightInd/>
        <w:snapToGrid/>
        <w:spacing w:line="579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一、领导班子履行主体责任情况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主要负责同志高度重视，坚定不移把“两个维护”贯穿巡察整改工作始终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党工委书记切实履行巡察整改“第一责任人”责任，坚持把巡察整改作为树牢“四个意识”、坚定“四个自信”、践行“两个维护”的政治要求和具体行动。对巡察反馈的意见和指出的问题，诚恳接受，照单全收，坚决整改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）提高站位、深化认识，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val="en-US" w:eastAsia="zh-CN"/>
        </w:rPr>
        <w:t>扛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牢巡察整改主体责任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收到市委巡察反馈意见后，街道党工委深刻认识巡察整改工作的重要意义，切实提高政治站位、思想认识，坚持把抓好巡察整改作为落实中央决策部署和市委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区委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要求的重要抓手，全力以赴做好巡察整改“后半篇文章”。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（三）深入研究、精准施策，认真制定巡察整改方案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对照巡察发现问题，街道党工委逐条讨论、剖析根源、制定《兴东街道党工委关于市委巡察反馈意见的整改落实方案》并建立问题清单、任务清单、责任清单，研究整改措施，确保在集中整改时限内，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完成整改任务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）完善机制、加强统筹，形成巡察整改工作合力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成立兴东街道党工委巡察整改工作领导小组，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党工委书记任组长，压实班子成员履行“一岗双责”，推动职责范围内巡察整改任务落到实处。以巡察整改为契机，修改完善相关工作制度，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以制度固化整改成果，推动巡察整改长效化、常态化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，确保问题不反弹、不回潮。</w:t>
      </w:r>
    </w:p>
    <w:p>
      <w:pPr>
        <w:numPr>
          <w:numId w:val="0"/>
        </w:numPr>
        <w:wordWrap/>
        <w:adjustRightIn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紧盯进度、严把质量，确保巡察整改扎实有效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街道巡察整改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领导小组每半个月召开一次调度会议，听取整改情况及进度，对重点难点问题的整改加强监督检查，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党工委书记牵头研究措施、督促落实。</w:t>
      </w:r>
    </w:p>
    <w:p>
      <w:pPr>
        <w:widowControl w:val="0"/>
        <w:wordWrap/>
        <w:adjustRightInd/>
        <w:snapToGrid/>
        <w:spacing w:line="579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二、</w:t>
      </w:r>
      <w:r>
        <w:rPr>
          <w:rFonts w:hint="eastAsia" w:ascii="方正黑体简体" w:hAnsi="方正黑体简体" w:eastAsia="方正黑体简体" w:cs="方正黑体简体"/>
          <w:bCs/>
          <w:sz w:val="34"/>
          <w:szCs w:val="34"/>
        </w:rPr>
        <w:t>巡察整改落实情况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color w:val="000000"/>
          <w:spacing w:val="-6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（一）贯彻落实习近平总书记关于东北、辽宁振兴发展重要讲话精神有差距，实施三年行动用力不足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</w:rPr>
        <w:t>1.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重视程度不高方面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</w:rPr>
        <w:t>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结合兴东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实际，重新修改《兴东街道全面振兴新突破三年行动实施方案》，经街道党工委会议审议通过，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部署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落实；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与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相关部门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及时沟通、汇报街道各项经济指标及项目进展情况，按时、合理完成每月、每季度的线上直报工作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街道党政“一把手”重视“请进来”招商活动，2024年5月底前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引进省外项目3个；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将“建设城市休闲会客厅、打造丹东中央城镇休闲游憩区”纳入计划中，通过“抓住三条主线，繁荣两个商圈，打造一条特色街路”举措，打造金海女人街商圈为购物、休闲、美食的高端综合体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新安步行街商圈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成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为“家电销售中心区”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已出具规模；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五是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通过“创建文明城、卫生城”活动建设宜居城市、打造城市花园。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2.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促进经济发展措施落实不力方面。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4"/>
          <w:szCs w:val="34"/>
        </w:rPr>
        <w:t>经过街道多方努力，新安街小家电聚集区、沙河镇小商品副食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品一条街已初具规模。大沙河旅游休憩区经过几年的绿化、亮化、卫生管理，已经成为市民休闲游玩的好地方；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落实项目建设责任制，对重点储备项目进行梳理，已推动可行项目进展，2024年5月底前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利用闲置资产引进省外项目3个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街道党工委高度重视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高质量发展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工作实绩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，经过研究部署、督促落实，目前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各项工作均有质的飞跃，在全区排位靠前。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3.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推动闲置资产盘活利用主动性不强方面。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街道成立工作专班，正在逐一采取措施盘活老二商店等存在历史纠纷的闲置地块，力求协调解决；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重新对闲置资产进行梳理，制作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招商推介册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进行招商，2023年盘活闲置门市72处，2024年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底前，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盘活闲置资产28处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亿龙大厦现已包装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成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“亿龙大厦文创科技城”项目进行重点推介。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4.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在促进创业带动就业工作开展不力方面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根据市人社局《关于开展创业带头人保险补贴工作的通知》文件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，街道于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月组织社区劳动保障专干开展集中培训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走访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13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家企业进行政策宣传，登</w:t>
      </w:r>
      <w:r>
        <w:rPr>
          <w:rFonts w:hint="default" w:ascii="Times New Roman" w:hAnsi="Times New Roman" w:eastAsia="方正仿宋简体" w:cs="Times New Roman"/>
          <w:color w:val="000000"/>
          <w:spacing w:val="-11"/>
          <w:sz w:val="34"/>
          <w:szCs w:val="34"/>
        </w:rPr>
        <w:t>记5</w:t>
      </w:r>
      <w:r>
        <w:rPr>
          <w:rFonts w:hint="default" w:ascii="Times New Roman" w:hAnsi="Times New Roman" w:eastAsia="方正仿宋简体" w:cs="Times New Roman"/>
          <w:color w:val="000000"/>
          <w:spacing w:val="-11"/>
          <w:kern w:val="0"/>
          <w:sz w:val="34"/>
          <w:szCs w:val="34"/>
        </w:rPr>
        <w:t>家企业招工信息</w:t>
      </w:r>
      <w:r>
        <w:rPr>
          <w:rFonts w:hint="default" w:ascii="Times New Roman" w:hAnsi="Times New Roman" w:eastAsia="方正仿宋简体" w:cs="Times New Roman"/>
          <w:color w:val="000000"/>
          <w:spacing w:val="-11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-11"/>
          <w:sz w:val="34"/>
          <w:szCs w:val="34"/>
        </w:rPr>
        <w:t>录入“丹东市智慧人力资源市场</w:t>
      </w:r>
      <w:r>
        <w:rPr>
          <w:rFonts w:hint="default" w:ascii="Times New Roman" w:hAnsi="Times New Roman" w:eastAsia="方正仿宋简体" w:cs="Times New Roman"/>
          <w:color w:val="000000"/>
          <w:spacing w:val="-11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spacing w:val="-11"/>
          <w:sz w:val="34"/>
          <w:szCs w:val="34"/>
        </w:rPr>
        <w:t>平台进行发布。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5.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在落实就业困难人员灵活就业社会保险补贴政策不力方面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残联、民政、劳动保障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个部门联合通过微信群、电话、入户等形式对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222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符合享受灵活就业保险补贴的困难、残疾人员进行政策宣传，积极主动办理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业务。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（二）推动基层治理力度不够，管理服务质效不高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在对网格管理服务工作重视不够方面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2024年1月，街道党工委印发《关于加强兴东街道网格化管理服务工作的实施办法（试行）》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20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对11名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班子成员包联网格情况进行明确划分，职责清晰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规范网格员选聘程序，动态监管网格员队伍，网格员上岗前均开展岗前培训、签订保密协议，并经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党工委会议审议通过后报区党群中心备案；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选派33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街道优秀机关干部常态化参与350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余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户居民网格工作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为群众办实事60余件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街道每月组织网格员开展业</w:t>
      </w:r>
      <w:r>
        <w:rPr>
          <w:rFonts w:hint="default" w:ascii="Times New Roman" w:hAnsi="Times New Roman" w:eastAsia="方正仿宋简体" w:cs="Times New Roman"/>
          <w:color w:val="000000"/>
          <w:spacing w:val="-11"/>
          <w:sz w:val="34"/>
          <w:szCs w:val="34"/>
        </w:rPr>
        <w:t>务培训1次，提升服务质效。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经过整改，2024年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5月，街道在区网格化工作综合考核中，各项数据均大幅提升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2023年11月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已选派1名事业编制工作人员专职负责网格工作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对网格员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上报社情走访等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情况进行梳理、监督。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对年度考核不达标、工作不积极认真主动的网格员及时调整更换。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在协调推动解决群众用水、出行问题成效不明显方面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相关职能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部门保持横向沟通协作，及时处理投诉问题，已解决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林江名城等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个小区吃水难、地下管网改造等问题，协调供暖部门解决居民供暖问题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余次；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街道及社区一直积极做居民思想工作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联系多方单位协调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解决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林江名城4号楼电梯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无法使用及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永安花园小区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电梯安装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问题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在推动小区规范化管理不到位</w:t>
      </w:r>
      <w:bookmarkStart w:id="3" w:name="_Hlk172967853"/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bookmarkEnd w:id="3"/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在街道指导下，现阶段有3个小区正在成立业委会，其中2个小区已经进入召开业主大会议程。已有13个小区成立物业管理委员会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按照《辽宁省物业管理条例》要求，已经进入召开业主大会议程的小区争取顺利成立小区业主委员会。对有业主委员会但无物业的小区积极协调业委会引入物业管理。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在整治违法占道经营力度不够方面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4"/>
          <w:szCs w:val="34"/>
        </w:rPr>
        <w:t>街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道城管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每天早7点半至下午5点对女人街、沙河镇街、通江早市等重点区域占道经营现象加大管理力度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截至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2024年5月底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，共清理流动商贩2000余次，清理店外经营累计1000余次；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对中富街经营电动车店铺逐户进行政策宣讲，已与10家电动车行签订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门前四包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责任书。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color w:val="00000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（三）防范化解风险隐患力度不够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1.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对非法宗教传播重视不够方面。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每月召开专项会议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部署反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邪教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工作，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为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属地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民警与社区专干构建信息交换平台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通过发放宣传单、社区日常巡逻、销毁反宣品等方式为群众宣传反邪教理念，提升居民反邪教意识。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outlineLvl w:val="1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在属地稳控责任落实不到位方面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已对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纳入信访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台账内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落实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专属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责任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加强与属事责任单位协作，做好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相关人员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政策宣传与心理疏导工作，共同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推动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信访事件化解。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outlineLvl w:val="1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在矛盾纠纷排查化解工作不实方面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街道每月召开2次专项会议，了解各社区矛盾纠纷特点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大力摸排辖区内矛盾纠纷，鼓励群众通过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合法渠道进行纠纷调解，做好矛盾纠纷回访记录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5月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，街道对各社区矛盾纠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纷台账归档进行抽查，发现问题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已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及时纠正。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在提高公共安全治理水平用力不够方面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联合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相关职能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部门对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部分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小区消防设施问题督促相关物业检查维修、完善设施，同时集中开展清理楼道堆占、禁止电动车进楼入户工作，保障高层民宅消防安全；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2024年上半年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组织辖区企业开展安全生产培训2次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下达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安全风险防范工作提示；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通过旧小区改造工程，对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部分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老旧小区外部老化电线进行逐步更换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正在对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墙体墙皮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脱落问题进行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修缮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江景之都小区未检验的电梯已于2024年初检验完毕。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（四）对优化营商环境建设重视不足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1.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服务市场主体不到位方面。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积极落实项目管家服务，街道现有138位公共管家对接8240家中小微企业，持续做好“政企直通车”平台工作，每周与60家企业保持互动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2023年10月至今，街道共计帮助企业解决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实际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困难63次。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推动城管文明规范执法力度不够方面。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2024年5月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对城管执法人员进行文明执法业务培训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努力提升城管执法人员能力水平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执法过程全程使用执法记录仪，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做好录像留存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对执法行为不规范的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城管执法人员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进行严肃处理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有效化解负面舆情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营造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文明和谐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的社会环境。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</w:rPr>
        <w:t>以罚代管、超标准处罚、重复执法等问题依然存在方面。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坚决杜绝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  <w:lang w:val="en-US" w:eastAsia="zh-CN"/>
        </w:rPr>
        <w:t>执法人员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“以罚代管”和“超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罚款”等行为，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城管执法人员进行严肃处理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及批评</w:t>
      </w:r>
      <w:r>
        <w:rPr>
          <w:rFonts w:hint="default" w:ascii="Times New Roman" w:hAnsi="Times New Roman" w:eastAsia="方正仿宋简体" w:cs="Times New Roman"/>
          <w:color w:val="000000"/>
          <w:kern w:val="20"/>
          <w:sz w:val="34"/>
          <w:szCs w:val="34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color w:val="000000"/>
          <w:spacing w:val="-20"/>
          <w:kern w:val="20"/>
          <w:sz w:val="34"/>
          <w:szCs w:val="34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kern w:val="20"/>
          <w:sz w:val="34"/>
          <w:szCs w:val="34"/>
        </w:rPr>
        <w:t>处罚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罚款已在问题发生时即上交财政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2024年5月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组织城管执法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员集体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培训、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学习《城市管理行政处罚条例》并熟练运用，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合理使用处罚手段。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color w:val="00000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（五）落实“两个责任”有差距，全面从严治党引领保障作用发挥不充分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全面从严治党和党风廉政建设要求落实不到位方面。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召开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党员警示教育大会，组织机关及社区观看警示教育片，提高干部纪律意识和规矩意识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做好节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假日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前街道及社区工作人员廉政提醒集中谈话工作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完善街道婚丧嫁娶报告台账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党员做好谈话提醒工作。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highlight w:val="none"/>
        </w:rPr>
        <w:t>监督执纪力度不强方面。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4"/>
          <w:szCs w:val="34"/>
          <w:highlight w:val="none"/>
        </w:rPr>
        <w:t>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极拓宽案源渠道，通过社区正风肃纪监督员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  <w:lang w:val="en-US" w:eastAsia="zh-CN"/>
        </w:rPr>
        <w:t>上报案件；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街道及社区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召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开警示教育会并观看警示教育片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提高干部纪律、规矩意识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开展优化营商环境宣传工作，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highlight w:val="none"/>
        </w:rPr>
        <w:t>就工作作风进行暗访。</w:t>
      </w:r>
    </w:p>
    <w:p>
      <w:pPr>
        <w:widowControl w:val="0"/>
        <w:wordWrap/>
        <w:adjustRightInd/>
        <w:snapToGrid/>
        <w:spacing w:line="579" w:lineRule="exact"/>
        <w:ind w:firstLine="656" w:firstLineChars="200"/>
        <w:textAlignment w:val="auto"/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pacing w:val="-6"/>
          <w:sz w:val="34"/>
          <w:szCs w:val="34"/>
        </w:rPr>
        <w:t>（六）落实新时代党的组织路线有差距，抓作风建设不够扎实有力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对社区工作者队伍建设重视不足方面。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严格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执行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《中国共产党纪律处分条例》《丹东市元宝区社区工作者管理考核办法（试行）》等文件要求，加强社区干部管理，严格落实社区干部请销假制度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2024年3月，街道已完善社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区工作者管理制度及考核奖惩制度。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首办负责制执行不到位方面。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2024年1月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街道党工委制定下发《兴东街道办事处12345政务服务便民热线群众诉求办理规则》</w:t>
      </w:r>
      <w:r>
        <w:rPr>
          <w:rFonts w:hint="default" w:ascii="Times New Roman" w:hAnsi="Times New Roman" w:eastAsia="方正仿宋简体" w:cs="Times New Roman"/>
          <w:color w:val="000000"/>
          <w:spacing w:val="-20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明确办理时限和责任人，提升平台工作人员业务素质和应变能力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截至2024年5月底，街道12345平台没有超期未认领件、未办结件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针对群众投诉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某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商家油烟污染问题，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经过街道积极</w:t>
      </w:r>
      <w:r>
        <w:rPr>
          <w:rFonts w:hint="default" w:ascii="Times New Roman" w:hAnsi="Times New Roman" w:eastAsia="方正仿宋简体" w:cs="Times New Roman"/>
          <w:color w:val="000000"/>
          <w:spacing w:val="-6"/>
          <w:kern w:val="0"/>
          <w:sz w:val="34"/>
          <w:szCs w:val="34"/>
        </w:rPr>
        <w:t>与商家沟通协调，商家已安装油烟净化器，解决油烟污染问题。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对群众承诺兑现不积极方面。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按照《丹东市新冠肺炎疫情防控一线人员临时性工作补助发放工作方案（暂行）》文件规定，对2022年民兵执勤情况进行核实统计，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形成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明细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表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上报区边海防办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区财政拨款后，街道召开党工委会议研究通过资金发放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事宜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，于2024年1月将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</w:rPr>
        <w:t>补助款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lang w:val="en-US" w:eastAsia="zh-CN"/>
        </w:rPr>
        <w:t>全额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发放给42名执勤民兵，同时对执勤人员做好解释工作。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开展老旧小区内墙粉刷流于形式方面。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已向区政府争取资金，加大创城维改投入力度和覆盖面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积极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向居民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宣传文明城创建相关要求，抵制不文明行为，共同营造良好居住环境。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召开组织生活会不规范方面。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街道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机关党支部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于2024年1月、3月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面对面交流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，党支部委员之间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党支部委员和党员之间，党员和党员之间进行谈心谈话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eastAsia="zh-CN"/>
        </w:rPr>
        <w:t>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2024年1月，召开支委会议，支部班子成员重点围绕10个方面进行集体讨论，共同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研究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2023年支部班子在开展各项工作过程中存在的突出问题，形成支部对照检查材料。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</w:rPr>
        <w:t>支部规范化建设有差距方面。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加强党员教育管理，夯实基层党建基础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按照上级要求，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党员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支部书记、包保领导及党委书记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按时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讲授党课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</w:rPr>
        <w:t>。2024年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3月，街道对下辖部分党支部“三会一课”材料进行检查，各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支部均按照要求合理制定党课讲授计划；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</w:rPr>
        <w:t>2024年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3月，组织全街党组织书记、社区副书记及党务工作者开展党建业务培训，提高从业能力水平。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采取轮岗锻炼方式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调整社区副书记3名，持续培养后备力量。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2024年5月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召开机关党支部支委会及党员大会，研究并向党员大会报告相关工作。</w:t>
      </w:r>
    </w:p>
    <w:p>
      <w:pPr>
        <w:widowControl w:val="0"/>
        <w:wordWrap/>
        <w:adjustRightInd/>
        <w:snapToGrid/>
        <w:spacing w:line="579" w:lineRule="exact"/>
        <w:ind w:firstLine="683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sz w:val="34"/>
          <w:szCs w:val="34"/>
          <w:lang w:val="en-US" w:eastAsia="zh-CN"/>
        </w:rPr>
        <w:t>三、下一步工作打算及计划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目前，兴东街道巡察整改工作取得了阶段性成效，但与上级要求和群众期盼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仍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有一定差距。下一步，我们将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继续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按照市委巡察工作要求，以扎实的整改成效，让市委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区委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放心，让广大干部群众满意。</w:t>
      </w:r>
    </w:p>
    <w:p>
      <w:pPr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pacing w:line="579" w:lineRule="exact"/>
        <w:ind w:firstLine="68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Cs/>
          <w:sz w:val="34"/>
          <w:szCs w:val="34"/>
        </w:rPr>
        <w:t>（一）压实整改责任，持续推进巡察反馈问题清仓见底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压实街道党工委整改主体责任，推动落实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党工委领导班子成员“一岗双责”要求、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党工委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书记第一责任人责任，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shd w:val="clear" w:color="auto" w:fill="FFFFFF"/>
        </w:rPr>
        <w:t>切实把巡察整改后续工作抓紧抓实抓好，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确保推进巡察反馈问题见底见效。</w:t>
      </w:r>
    </w:p>
    <w:p>
      <w:pPr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pacing w:line="579" w:lineRule="exact"/>
        <w:ind w:firstLine="680" w:firstLineChars="200"/>
        <w:textAlignment w:val="auto"/>
        <w:rPr>
          <w:rFonts w:hint="default" w:ascii="方正楷体简体" w:hAnsi="方正楷体简体" w:eastAsia="方正楷体简体" w:cs="方正楷体简体"/>
          <w:bCs/>
          <w:sz w:val="34"/>
          <w:szCs w:val="34"/>
        </w:rPr>
      </w:pPr>
      <w:r>
        <w:rPr>
          <w:rFonts w:hint="default" w:ascii="方正楷体简体" w:hAnsi="方正楷体简体" w:eastAsia="方正楷体简体" w:cs="方正楷体简体"/>
          <w:bCs/>
          <w:sz w:val="34"/>
          <w:szCs w:val="34"/>
        </w:rPr>
        <w:t>（二）完善制度机制，推动巡察整改常态化、长效化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建立完善“长久立”“管长远”的制度。全面对照反馈问题，紧盯重点领域、关键少数和薄弱环节，从根本上杜绝问题反弹回潮，确保整改工作常态化、整改成果长效化。</w:t>
      </w:r>
    </w:p>
    <w:p>
      <w:pPr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pacing w:line="579" w:lineRule="exact"/>
        <w:ind w:firstLine="680" w:firstLineChars="200"/>
        <w:textAlignment w:val="auto"/>
        <w:rPr>
          <w:rFonts w:hint="default" w:ascii="方正楷体简体" w:hAnsi="方正楷体简体" w:eastAsia="方正楷体简体" w:cs="方正楷体简体"/>
          <w:bCs/>
          <w:sz w:val="34"/>
          <w:szCs w:val="34"/>
        </w:rPr>
      </w:pPr>
      <w:r>
        <w:rPr>
          <w:rFonts w:hint="default" w:ascii="方正楷体简体" w:hAnsi="方正楷体简体" w:eastAsia="方正楷体简体" w:cs="方正楷体简体"/>
          <w:bCs/>
          <w:sz w:val="34"/>
          <w:szCs w:val="34"/>
        </w:rPr>
        <w:t>（三）强化监督检查，确保真改实改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highlight w:val="none"/>
          <w:shd w:val="clear" w:color="auto" w:fill="FFFFFF"/>
        </w:rPr>
        <w:t>深入开展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自查自纠工作“回头看”，对仍在推进中的事项，倒排工期，持续跟踪督办；对需要长期坚持的事项，继续紧盯不放，在巩固扩大成效上持续下功夫；对已完成整改的事项，主动开展“查漏洞、抓反弹、补短板”工作，防止问题反弹回潮。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56" w:firstLineChars="200"/>
        <w:textAlignment w:val="auto"/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欢迎广大干部群众对巡察整改落实情况进行监督。如有意见建议，请及时向我们反映。公开期限：2024年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日至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。联系电话：2823974（工作日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:00-17:00）；邮政信箱：丹东市元宝区九江街4-7号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eastAsia="zh-CN"/>
        </w:rPr>
        <w:t>，元宝区兴东街道办事处，邮编：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118000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。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56" w:firstLineChars="200"/>
        <w:jc w:val="right"/>
        <w:textAlignment w:val="auto"/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中共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丹东市元宝区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  <w:t>兴东街道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工作委员会</w:t>
      </w:r>
    </w:p>
    <w:p>
      <w:pPr>
        <w:widowControl w:val="0"/>
        <w:pBdr>
          <w:bottom w:val="single" w:color="FFFFFF" w:sz="4" w:space="31"/>
        </w:pBdr>
        <w:tabs>
          <w:tab w:val="left" w:pos="1453"/>
        </w:tabs>
        <w:wordWrap/>
        <w:autoSpaceDE w:val="0"/>
        <w:adjustRightInd/>
        <w:snapToGrid/>
        <w:spacing w:line="579" w:lineRule="exact"/>
        <w:ind w:firstLine="656" w:firstLineChars="200"/>
        <w:jc w:val="center"/>
        <w:textAlignment w:val="auto"/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22</w:t>
      </w:r>
      <w:bookmarkStart w:id="4" w:name="_GoBack"/>
      <w:bookmarkEnd w:id="4"/>
      <w:r>
        <w:rPr>
          <w:rFonts w:hint="default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Cs/>
          <w:spacing w:val="-6"/>
          <w:sz w:val="34"/>
          <w:szCs w:val="34"/>
          <w:lang w:val="en-US" w:eastAsia="zh-CN"/>
        </w:rPr>
        <w:t xml:space="preserve"> </w:t>
      </w:r>
      <w:bookmarkEnd w:id="0"/>
      <w:bookmarkEnd w:id="1"/>
      <w:bookmarkEnd w:id="2"/>
    </w:p>
    <w:sectPr>
      <w:headerReference r:id="rId4" w:type="default"/>
      <w:footerReference r:id="rId5" w:type="default"/>
      <w:pgSz w:w="11906" w:h="16838"/>
      <w:pgMar w:top="2211" w:right="1531" w:bottom="1871" w:left="1531" w:header="851" w:footer="992" w:gutter="0"/>
      <w:cols w:space="72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14"/>
        <w:sz w:val="24"/>
      </w:rPr>
    </w:pPr>
    <w:r>
      <w:rPr>
        <w:rFonts w:hint="default" w:ascii="Times New Roman" w:hAnsi="Times New Roman" w:cs="Times New Roman"/>
        <w:sz w:val="24"/>
      </w:rPr>
      <w:fldChar w:fldCharType="begin"/>
    </w:r>
    <w:r>
      <w:rPr>
        <w:rStyle w:val="14"/>
        <w:rFonts w:hint="default" w:ascii="Times New Roman" w:hAnsi="Times New Roman" w:cs="Times New Roman"/>
        <w:sz w:val="24"/>
      </w:rPr>
      <w:instrText xml:space="preserve">PAGE  </w:instrText>
    </w:r>
    <w:r>
      <w:rPr>
        <w:rFonts w:hint="default" w:ascii="Times New Roman" w:hAnsi="Times New Roman" w:cs="Times New Roman"/>
        <w:sz w:val="24"/>
      </w:rPr>
      <w:fldChar w:fldCharType="separate"/>
    </w:r>
    <w:r>
      <w:rPr>
        <w:rStyle w:val="14"/>
        <w:rFonts w:hint="default" w:ascii="Times New Roman" w:hAnsi="Times New Roman" w:cs="Times New Roman"/>
        <w:sz w:val="24"/>
      </w:rPr>
      <w:t>1</w:t>
    </w:r>
    <w:r>
      <w:rPr>
        <w:rFonts w:hint="default" w:ascii="Times New Roman" w:hAnsi="Times New Roman" w:cs="Times New Roman"/>
        <w:sz w:val="24"/>
      </w:rPr>
      <w:fldChar w:fldCharType="end"/>
    </w:r>
  </w:p>
  <w:p>
    <w:pPr>
      <w:pStyle w:val="4"/>
      <w:ind w:firstLine="360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link w:val="15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</w:style>
  <w:style w:type="paragraph" w:styleId="3">
    <w:name w:val="Body Text"/>
    <w:basedOn w:val="1"/>
    <w:link w:val="16"/>
    <w:pPr>
      <w:spacing w:after="120"/>
    </w:pPr>
    <w:rPr>
      <w:rFonts w:ascii="Calibri" w:hAnsi="Calibri" w:eastAsia="宋体" w:cs="Times New Roman"/>
      <w:kern w:val="2"/>
      <w:sz w:val="22"/>
      <w:szCs w:val="22"/>
    </w:rPr>
  </w:style>
  <w:style w:type="paragraph" w:styleId="4">
    <w:name w:val="footer"/>
    <w:basedOn w:val="1"/>
    <w:link w:val="1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2"/>
      <w:sz w:val="18"/>
    </w:rPr>
  </w:style>
  <w:style w:type="paragraph" w:styleId="5">
    <w:name w:val="header"/>
    <w:basedOn w:val="1"/>
    <w:link w:val="2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2"/>
      <w:sz w:val="18"/>
    </w:rPr>
  </w:style>
  <w:style w:type="paragraph" w:styleId="6">
    <w:name w:val="footnote text"/>
    <w:basedOn w:val="1"/>
    <w:link w:val="21"/>
    <w:pPr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character" w:styleId="8">
    <w:name w:val="Strong"/>
    <w:rPr>
      <w:rFonts w:cs="Times New Roman"/>
      <w:b/>
      <w:bCs/>
    </w:rPr>
  </w:style>
  <w:style w:type="paragraph" w:customStyle="1" w:styleId="9">
    <w:name w:val="批注框文本 Char Char"/>
    <w:basedOn w:val="1"/>
    <w:link w:val="18"/>
    <w:rPr>
      <w:rFonts w:ascii="Calibri" w:hAnsi="Calibri" w:cs="Times New Roman"/>
      <w:kern w:val="2"/>
      <w:sz w:val="18"/>
      <w:szCs w:val="18"/>
    </w:rPr>
  </w:style>
  <w:style w:type="paragraph" w:customStyle="1" w:styleId="10">
    <w:name w:val="Date"/>
    <w:basedOn w:val="1"/>
    <w:next w:val="1"/>
    <w:link w:val="17"/>
    <w:pPr>
      <w:ind w:left="100" w:leftChars="2500"/>
    </w:pPr>
    <w:rPr>
      <w:rFonts w:ascii="Calibri" w:hAnsi="Calibri" w:cs="Times New Roman"/>
      <w:kern w:val="2"/>
      <w:sz w:val="21"/>
    </w:rPr>
  </w:style>
  <w:style w:type="paragraph" w:customStyle="1" w:styleId="11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Body Text First Indent"/>
    <w:basedOn w:val="3"/>
    <w:link w:val="22"/>
    <w:pPr>
      <w:ind w:firstLine="420" w:firstLineChars="100"/>
    </w:pPr>
    <w:rPr>
      <w:rFonts w:ascii="Calibri" w:hAnsi="Calibri" w:eastAsia="宋体" w:cs="Times New Roman"/>
      <w:kern w:val="2"/>
      <w:sz w:val="22"/>
      <w:szCs w:val="22"/>
    </w:rPr>
  </w:style>
  <w:style w:type="paragraph" w:customStyle="1" w:styleId="13">
    <w:name w:val="List Paragraph"/>
    <w:basedOn w:val="1"/>
    <w:pPr>
      <w:ind w:firstLine="420" w:firstLineChars="200"/>
    </w:pPr>
  </w:style>
  <w:style w:type="character" w:customStyle="1" w:styleId="14">
    <w:name w:val="page number"/>
    <w:rPr>
      <w:rFonts w:cs="Times New Roman"/>
    </w:rPr>
  </w:style>
  <w:style w:type="character" w:customStyle="1" w:styleId="15">
    <w:name w:val="标题 1 字符"/>
    <w:link w:val="2"/>
    <w:semiHidden/>
    <w:rPr>
      <w:rFonts w:ascii="宋体" w:eastAsia="宋体" w:cs="宋体"/>
      <w:b/>
      <w:bCs/>
      <w:kern w:val="36"/>
      <w:sz w:val="48"/>
      <w:szCs w:val="48"/>
    </w:rPr>
  </w:style>
  <w:style w:type="character" w:customStyle="1" w:styleId="16">
    <w:name w:val="正文文本 字符"/>
    <w:link w:val="3"/>
    <w:semiHidden/>
    <w:rPr>
      <w:rFonts w:ascii="Calibri" w:hAnsi="Calibri" w:eastAsia="宋体" w:cs="Times New Roman"/>
      <w:kern w:val="2"/>
      <w:sz w:val="22"/>
      <w:szCs w:val="22"/>
    </w:rPr>
  </w:style>
  <w:style w:type="character" w:customStyle="1" w:styleId="17">
    <w:name w:val="日期 字符"/>
    <w:link w:val="10"/>
    <w:semiHidden/>
    <w:rPr>
      <w:rFonts w:ascii="Calibri" w:hAnsi="Calibri" w:cs="Times New Roman"/>
      <w:kern w:val="2"/>
      <w:sz w:val="21"/>
    </w:rPr>
  </w:style>
  <w:style w:type="character" w:customStyle="1" w:styleId="18">
    <w:name w:val="批注框文本 字符"/>
    <w:link w:val="9"/>
    <w:semiHidden/>
    <w:rPr>
      <w:rFonts w:ascii="Calibri" w:hAnsi="Calibri" w:cs="Times New Roman"/>
      <w:kern w:val="2"/>
      <w:sz w:val="18"/>
      <w:szCs w:val="18"/>
    </w:rPr>
  </w:style>
  <w:style w:type="character" w:customStyle="1" w:styleId="19">
    <w:name w:val="页脚 字符"/>
    <w:link w:val="4"/>
    <w:semiHidden/>
    <w:rPr>
      <w:rFonts w:ascii="Calibri" w:hAnsi="Calibri" w:cs="Times New Roman"/>
      <w:kern w:val="2"/>
      <w:sz w:val="18"/>
    </w:rPr>
  </w:style>
  <w:style w:type="character" w:customStyle="1" w:styleId="20">
    <w:name w:val="页眉 字符"/>
    <w:link w:val="5"/>
    <w:semiHidden/>
    <w:rPr>
      <w:rFonts w:cs="Times New Roman"/>
      <w:kern w:val="2"/>
      <w:sz w:val="18"/>
    </w:rPr>
  </w:style>
  <w:style w:type="character" w:customStyle="1" w:styleId="21">
    <w:name w:val="脚注文本 字符"/>
    <w:link w:val="6"/>
    <w:semiHidden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正文文本首行缩进 字符"/>
    <w:link w:val="12"/>
    <w:semiHidden/>
    <w:rPr>
      <w:rFonts w:ascii="Calibri" w:hAnsi="Calibri" w:eastAsia="宋体" w:cs="Times New Roman"/>
      <w:kern w:val="2"/>
      <w:sz w:val="22"/>
      <w:szCs w:val="22"/>
    </w:rPr>
  </w:style>
  <w:style w:type="character" w:customStyle="1" w:styleId="23">
    <w:name w:val="不明显参考1"/>
    <w:rPr>
      <w:rFonts w:cs="Times New Roman"/>
      <w:smallCaps/>
      <w:color w:val="C0504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5125</Words>
  <Characters>5311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2024-05-13T08:24:00Z</dcterms:created>
  <dc:creator>刘一</dc:creator>
  <cp:lastPrinted>2024-10-18T18:43:00Z</cp:lastPrinted>
  <dcterms:modified xsi:type="dcterms:W3CDTF">2024-10-24T09:41:56Z</dcterms:modified>
  <dc:title> 脸脸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69699E4D23324593BD48FD8DA371301E_12</vt:lpwstr>
  </property>
</Properties>
</file>