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left"/>
        <w:rPr>
          <w:rFonts w:ascii="Times New Roman" w:hAnsi="Times New Roman" w:eastAsia="仿宋_GB2312" w:cs="Times New Roman"/>
          <w:sz w:val="32"/>
          <w:szCs w:val="32"/>
        </w:rPr>
      </w:pPr>
    </w:p>
    <w:p>
      <w:pPr>
        <w:spacing w:beforeLines="100" w:line="579" w:lineRule="exact"/>
        <w:jc w:val="center"/>
        <w:rPr>
          <w:rFonts w:ascii="Times New Roman" w:hAnsi="Times New Roman" w:eastAsia="方正小标宋简体" w:cs="Times New Roman"/>
          <w:bCs/>
          <w:color w:val="000000"/>
          <w:kern w:val="0"/>
          <w:sz w:val="44"/>
          <w:szCs w:val="44"/>
        </w:rPr>
      </w:pPr>
      <w:r>
        <w:rPr>
          <w:rFonts w:ascii="Times New Roman" w:hAnsi="Times New Roman" w:eastAsia="方正小标宋简体" w:cs="Times New Roman"/>
          <w:sz w:val="44"/>
          <w:szCs w:val="44"/>
        </w:rPr>
        <w:t>中共</w:t>
      </w:r>
      <w:r>
        <w:rPr>
          <w:rFonts w:hint="eastAsia" w:ascii="Times New Roman" w:hAnsi="Times New Roman" w:eastAsia="方正小标宋简体" w:cs="Times New Roman"/>
          <w:sz w:val="44"/>
          <w:szCs w:val="44"/>
          <w:lang w:eastAsia="zh-CN"/>
        </w:rPr>
        <w:t>龙王庙镇党委</w:t>
      </w:r>
      <w:r>
        <w:rPr>
          <w:rFonts w:ascii="Times New Roman" w:hAnsi="Times New Roman" w:eastAsia="方正小标宋简体" w:cs="Times New Roman"/>
          <w:bCs/>
          <w:color w:val="000000"/>
          <w:kern w:val="0"/>
          <w:sz w:val="44"/>
          <w:szCs w:val="44"/>
        </w:rPr>
        <w:t>关于市委巡察整改</w:t>
      </w:r>
    </w:p>
    <w:p>
      <w:pPr>
        <w:spacing w:beforeLines="100" w:line="579" w:lineRule="exact"/>
        <w:jc w:val="center"/>
        <w:rPr>
          <w:rFonts w:ascii="Times New Roman" w:hAnsi="Times New Roman" w:eastAsia="方正小标宋简体" w:cs="Times New Roman"/>
          <w:bCs/>
          <w:color w:val="000000"/>
          <w:kern w:val="0"/>
          <w:sz w:val="44"/>
          <w:szCs w:val="44"/>
        </w:rPr>
      </w:pPr>
      <w:r>
        <w:rPr>
          <w:rFonts w:ascii="Times New Roman" w:hAnsi="Times New Roman" w:eastAsia="方正小标宋简体" w:cs="Times New Roman"/>
          <w:bCs/>
          <w:color w:val="000000"/>
          <w:kern w:val="0"/>
          <w:sz w:val="44"/>
          <w:szCs w:val="44"/>
        </w:rPr>
        <w:t>落实进展情况的通报</w:t>
      </w:r>
      <w:bookmarkStart w:id="0" w:name="_GoBack"/>
      <w:bookmarkEnd w:id="0"/>
    </w:p>
    <w:p>
      <w:pPr>
        <w:spacing w:line="579" w:lineRule="exact"/>
        <w:ind w:firstLine="616"/>
        <w:rPr>
          <w:rFonts w:ascii="Times New Roman" w:hAnsi="Times New Roman" w:eastAsia="仿宋_GB2312" w:cs="Times New Roman"/>
          <w:bCs/>
          <w:spacing w:val="-6"/>
          <w:sz w:val="32"/>
          <w:szCs w:val="32"/>
        </w:rPr>
      </w:pPr>
    </w:p>
    <w:p>
      <w:pPr>
        <w:ind w:firstLine="616" w:firstLineChars="200"/>
        <w:jc w:val="both"/>
        <w:rPr>
          <w:rFonts w:hint="eastAsia" w:ascii="仿宋_GB2312" w:hAnsi="仿宋_GB2312" w:eastAsia="仿宋_GB2312" w:cs="仿宋_GB2312"/>
          <w:bCs/>
          <w:spacing w:val="-6"/>
          <w:kern w:val="2"/>
          <w:sz w:val="32"/>
          <w:szCs w:val="32"/>
          <w:lang w:val="en-US" w:eastAsia="zh-CN" w:bidi="ar-SA"/>
        </w:rPr>
      </w:pPr>
      <w:r>
        <w:rPr>
          <w:rFonts w:hint="eastAsia" w:ascii="仿宋_GB2312" w:hAnsi="仿宋_GB2312" w:eastAsia="仿宋_GB2312" w:cs="仿宋_GB2312"/>
          <w:bCs/>
          <w:spacing w:val="-6"/>
          <w:kern w:val="2"/>
          <w:sz w:val="32"/>
          <w:szCs w:val="32"/>
          <w:lang w:val="en-US" w:eastAsia="zh-CN" w:bidi="ar-SA"/>
        </w:rPr>
        <w:t>根据市委和市委巡察工作领导小组统一部署，2022年9月22日至12月22日，市委第二巡察组对龙王庙镇进行了巡察。2023年3月1日，市委巡察组向龙王庙镇反馈了巡察意见。按照《巡视工作条例》有关要求，现将巡察整改情况予以公布。</w:t>
      </w:r>
    </w:p>
    <w:p>
      <w:pPr>
        <w:spacing w:line="579" w:lineRule="exact"/>
        <w:ind w:firstLine="616"/>
        <w:rPr>
          <w:rFonts w:ascii="Times New Roman" w:hAnsi="Times New Roman" w:eastAsia="方正黑体简体" w:cs="Times New Roman"/>
          <w:b/>
          <w:bCs w:val="0"/>
          <w:spacing w:val="-6"/>
          <w:sz w:val="32"/>
          <w:szCs w:val="32"/>
        </w:rPr>
      </w:pPr>
      <w:r>
        <w:rPr>
          <w:rFonts w:ascii="Times New Roman" w:hAnsi="Times New Roman" w:eastAsia="方正黑体简体" w:cs="Times New Roman"/>
          <w:b/>
          <w:bCs w:val="0"/>
          <w:spacing w:val="-6"/>
          <w:sz w:val="32"/>
          <w:szCs w:val="32"/>
        </w:rPr>
        <w:t>一、巡察整改落实情况</w:t>
      </w:r>
    </w:p>
    <w:p>
      <w:pPr>
        <w:spacing w:line="579" w:lineRule="exact"/>
        <w:ind w:firstLine="616"/>
        <w:rPr>
          <w:rFonts w:hint="eastAsia" w:ascii="Times New Roman" w:hAnsi="Times New Roman" w:eastAsia="方正楷体简体" w:cs="Times New Roman"/>
          <w:bCs/>
          <w:spacing w:val="-6"/>
          <w:sz w:val="32"/>
          <w:szCs w:val="32"/>
        </w:rPr>
      </w:pPr>
      <w:r>
        <w:rPr>
          <w:rFonts w:hint="eastAsia" w:ascii="Times New Roman" w:hAnsi="Times New Roman" w:eastAsia="方正楷体简体" w:cs="Times New Roman"/>
          <w:bCs/>
          <w:spacing w:val="-6"/>
          <w:sz w:val="32"/>
          <w:szCs w:val="32"/>
          <w:lang w:eastAsia="zh-CN"/>
        </w:rPr>
        <w:t>（一）关于</w:t>
      </w:r>
      <w:r>
        <w:rPr>
          <w:rFonts w:hint="eastAsia" w:ascii="Times New Roman" w:hAnsi="Times New Roman" w:eastAsia="方正楷体简体" w:cs="Times New Roman"/>
          <w:bCs/>
          <w:spacing w:val="-6"/>
          <w:sz w:val="32"/>
          <w:szCs w:val="32"/>
        </w:rPr>
        <w:t>学习习近平新时代中国特色社会主义思想、贯彻落实乡村振兴战略以及省市工作要求有差距</w:t>
      </w:r>
      <w:r>
        <w:rPr>
          <w:rFonts w:hint="eastAsia" w:ascii="Times New Roman" w:hAnsi="Times New Roman" w:eastAsia="方正楷体简体" w:cs="Times New Roman"/>
          <w:bCs/>
          <w:spacing w:val="-6"/>
          <w:sz w:val="32"/>
          <w:szCs w:val="32"/>
          <w:lang w:eastAsia="zh-CN"/>
        </w:rPr>
        <w:t>的整改落实情况</w:t>
      </w:r>
      <w:r>
        <w:rPr>
          <w:rFonts w:hint="eastAsia" w:ascii="Times New Roman" w:hAnsi="Times New Roman" w:eastAsia="方正楷体简体" w:cs="Times New Roman"/>
          <w:bCs/>
          <w:spacing w:val="-6"/>
          <w:sz w:val="32"/>
          <w:szCs w:val="32"/>
        </w:rPr>
        <w:t>。</w:t>
      </w:r>
    </w:p>
    <w:p>
      <w:pPr>
        <w:ind w:firstLine="616" w:firstLineChars="200"/>
        <w:jc w:val="both"/>
        <w:rPr>
          <w:rFonts w:hint="eastAsia" w:ascii="仿宋_GB2312" w:hAnsi="仿宋_GB2312" w:eastAsia="仿宋_GB2312" w:cs="仿宋_GB2312"/>
          <w:bCs/>
          <w:spacing w:val="-6"/>
          <w:kern w:val="2"/>
          <w:sz w:val="32"/>
          <w:szCs w:val="32"/>
          <w:lang w:val="en-US" w:eastAsia="zh-CN" w:bidi="ar-SA"/>
        </w:rPr>
      </w:pPr>
      <w:r>
        <w:rPr>
          <w:rFonts w:hint="eastAsia" w:ascii="仿宋_GB2312" w:hAnsi="仿宋_GB2312" w:eastAsia="仿宋_GB2312" w:cs="仿宋_GB2312"/>
          <w:bCs/>
          <w:spacing w:val="-6"/>
          <w:kern w:val="2"/>
          <w:sz w:val="32"/>
          <w:szCs w:val="32"/>
          <w:lang w:val="en-US" w:eastAsia="zh-CN" w:bidi="ar-SA"/>
        </w:rPr>
        <w:t>1、在理论学习缺乏针对性和实效性方面。一是提升理论学习整体布置安排。召开党委专题会议，结合镇内各部门工作实际，丰富理论学习内容和形式，列出重点全年学习内容，制定全镇年度学习方案。二是发挥“头雁”领学促学作用。成立党的二十大宣讲团，开展镇领导班子成员带头到村开展理论宣讲23次，要求学习会后开展交流研讨，拓展思维、深化认知，提升学习研讨成效。三是强化政策法规学习与监督。学习贯彻中央新颁布党内规章，由各支部带头学，举办党二十大学习教育培训班3期，每季度开展学习检查，全面将理论学习内容浸润到党员心中。</w:t>
      </w:r>
    </w:p>
    <w:p>
      <w:pPr>
        <w:ind w:firstLine="616" w:firstLineChars="200"/>
        <w:rPr>
          <w:rFonts w:hint="eastAsia" w:ascii="仿宋_GB2312" w:hAnsi="仿宋_GB2312" w:eastAsia="仿宋_GB2312" w:cs="仿宋_GB2312"/>
          <w:bCs/>
          <w:spacing w:val="-6"/>
          <w:kern w:val="2"/>
          <w:sz w:val="32"/>
          <w:szCs w:val="32"/>
          <w:lang w:val="en-US" w:eastAsia="zh-CN" w:bidi="ar-SA"/>
        </w:rPr>
      </w:pPr>
      <w:r>
        <w:rPr>
          <w:rFonts w:hint="eastAsia" w:ascii="仿宋_GB2312" w:hAnsi="仿宋_GB2312" w:eastAsia="仿宋_GB2312" w:cs="仿宋_GB2312"/>
          <w:bCs/>
          <w:spacing w:val="-6"/>
          <w:kern w:val="2"/>
          <w:sz w:val="32"/>
          <w:szCs w:val="32"/>
          <w:lang w:val="en-US" w:eastAsia="zh-CN" w:bidi="ar-SA"/>
        </w:rPr>
        <w:t>2、在贯彻乡村振兴战略中组织领导责任不够到位方面。组织镇班子成员开展相关组织领导工作材料学习，要求强化领导责任，对上级作出的决策部署认真贯彻落实，对上级部门部署的重要任务，要认真学习，仔细研究，精研有效措施做到亲自督办。</w:t>
      </w:r>
    </w:p>
    <w:p>
      <w:pPr>
        <w:pStyle w:val="2"/>
        <w:rPr>
          <w:rFonts w:hint="eastAsia" w:ascii="仿宋_GB2312" w:hAnsi="仿宋_GB2312" w:eastAsia="仿宋_GB2312" w:cs="仿宋_GB2312"/>
          <w:bCs/>
          <w:spacing w:val="-6"/>
          <w:kern w:val="2"/>
          <w:sz w:val="32"/>
          <w:szCs w:val="32"/>
          <w:lang w:val="en-US" w:eastAsia="zh-CN" w:bidi="ar-SA"/>
        </w:rPr>
      </w:pPr>
      <w:r>
        <w:rPr>
          <w:rFonts w:hint="eastAsia" w:ascii="仿宋_GB2312" w:hAnsi="仿宋_GB2312" w:eastAsia="仿宋_GB2312" w:cs="仿宋_GB2312"/>
          <w:bCs/>
          <w:spacing w:val="-6"/>
          <w:kern w:val="2"/>
          <w:sz w:val="32"/>
          <w:szCs w:val="32"/>
          <w:lang w:val="en-US" w:eastAsia="zh-CN" w:bidi="ar-SA"/>
        </w:rPr>
        <w:t>3、在贯彻乡村振兴战略中产业振兴存在短板方面。已推进建设龙王庙镇农业产业产业科技示范园区项目，持续推进草莓、蓝莓农产品精深加工，培育休闲农业、观光农业等新业态融合发展。全面提升“电商+特色农业”精准度，继续壮大设施农业生产规模，发挥蓝莓集中生产优势，努力争创龙王庙镇蓝莓地理标志产品，助推特色农业提质增效。</w:t>
      </w:r>
    </w:p>
    <w:p>
      <w:pPr>
        <w:pStyle w:val="2"/>
        <w:rPr>
          <w:rFonts w:hint="eastAsia" w:ascii="仿宋_GB2312" w:hAnsi="仿宋_GB2312" w:eastAsia="仿宋_GB2312" w:cs="仿宋_GB2312"/>
          <w:bCs/>
          <w:spacing w:val="-6"/>
          <w:kern w:val="2"/>
          <w:sz w:val="32"/>
          <w:szCs w:val="32"/>
          <w:lang w:val="en-US" w:eastAsia="zh-CN" w:bidi="ar-SA"/>
        </w:rPr>
      </w:pPr>
      <w:r>
        <w:rPr>
          <w:rFonts w:hint="eastAsia" w:ascii="仿宋_GB2312" w:hAnsi="仿宋_GB2312" w:eastAsia="仿宋_GB2312" w:cs="仿宋_GB2312"/>
          <w:bCs/>
          <w:spacing w:val="-6"/>
          <w:kern w:val="2"/>
          <w:sz w:val="32"/>
          <w:szCs w:val="32"/>
          <w:lang w:val="en-US" w:eastAsia="zh-CN" w:bidi="ar-SA"/>
        </w:rPr>
        <w:t>4、在落实市委“秸秆禁烧”监管工作不彻底方面。制定秸秆禁烧工作方案，成立工作小组，由党委书记、镇长担任双组长，发放《致全镇人民“秸秆禁烧”一封信》3000余封，要求各村党总支带领村“两委”成员认真总结吸取2020年出现的违反“秸秆禁烧”教训，利用网格化管理模式对镇内重点地块和重点人员进行摸底和排查，形成台账，同时强化日常巡查工作中发现违反“秸秆禁烧的情况第一时间上报镇政府相关部门。</w:t>
      </w:r>
    </w:p>
    <w:p>
      <w:pPr>
        <w:pStyle w:val="2"/>
        <w:rPr>
          <w:rFonts w:hint="eastAsia" w:ascii="仿宋_GB2312" w:hAnsi="仿宋_GB2312" w:eastAsia="仿宋_GB2312" w:cs="仿宋_GB2312"/>
          <w:bCs/>
          <w:spacing w:val="-6"/>
          <w:kern w:val="2"/>
          <w:sz w:val="32"/>
          <w:szCs w:val="32"/>
          <w:lang w:val="en-US" w:eastAsia="zh-CN" w:bidi="ar-SA"/>
        </w:rPr>
      </w:pPr>
      <w:r>
        <w:rPr>
          <w:rFonts w:hint="eastAsia" w:ascii="仿宋_GB2312" w:hAnsi="仿宋_GB2312" w:eastAsia="仿宋_GB2312" w:cs="仿宋_GB2312"/>
          <w:bCs/>
          <w:spacing w:val="-6"/>
          <w:kern w:val="2"/>
          <w:sz w:val="32"/>
          <w:szCs w:val="32"/>
          <w:lang w:val="en-US" w:eastAsia="zh-CN" w:bidi="ar-SA"/>
        </w:rPr>
        <w:t>5、在落实市委社会综合治理工作不够有力方面。强化镇区综合治理重要作用，联系城管及市场部门在每月镇集等大型活动中开展联合执法工作，截止目前已开展联合执法20余次，有效解决了乱占道路经营等问题。</w:t>
      </w:r>
    </w:p>
    <w:p>
      <w:pPr>
        <w:pStyle w:val="2"/>
        <w:rPr>
          <w:rFonts w:hint="default" w:ascii="仿宋_GB2312" w:hAnsi="仿宋_GB2312" w:eastAsia="仿宋_GB2312" w:cs="仿宋_GB2312"/>
          <w:bCs/>
          <w:spacing w:val="-6"/>
          <w:kern w:val="2"/>
          <w:sz w:val="32"/>
          <w:szCs w:val="32"/>
          <w:lang w:val="en-US" w:eastAsia="zh-CN" w:bidi="ar-SA"/>
        </w:rPr>
      </w:pPr>
      <w:r>
        <w:rPr>
          <w:rFonts w:hint="eastAsia" w:ascii="仿宋_GB2312" w:hAnsi="仿宋_GB2312" w:eastAsia="仿宋_GB2312" w:cs="仿宋_GB2312"/>
          <w:bCs/>
          <w:spacing w:val="-6"/>
          <w:kern w:val="2"/>
          <w:sz w:val="32"/>
          <w:szCs w:val="32"/>
          <w:lang w:val="en-US" w:eastAsia="zh-CN" w:bidi="ar-SA"/>
        </w:rPr>
        <w:t>6、在落实意识形态工作责任不够到位方面。召开镇意识形态工作部署会议，镇党委书记带头强调意识形态工作重要性，坚持“一把手”带头，切实当好“第一责任人”。出台意识形态工作方案，镇政法部门与公安部门联动，全力排查重点人，强化对“FLG”人员管控，提升全镇党员干部对意识形态工作极端重要性的认识水平。</w:t>
      </w:r>
    </w:p>
    <w:p>
      <w:pPr>
        <w:pStyle w:val="2"/>
        <w:rPr>
          <w:rFonts w:hint="eastAsia" w:ascii="Times New Roman" w:hAnsi="Times New Roman" w:eastAsia="方正楷体简体" w:cs="Times New Roman"/>
          <w:bCs/>
          <w:spacing w:val="-6"/>
          <w:kern w:val="2"/>
          <w:sz w:val="32"/>
          <w:szCs w:val="32"/>
          <w:lang w:val="en-US" w:eastAsia="zh-CN" w:bidi="ar-SA"/>
        </w:rPr>
      </w:pPr>
      <w:r>
        <w:rPr>
          <w:rFonts w:hint="eastAsia" w:ascii="Times New Roman" w:hAnsi="Times New Roman" w:eastAsia="方正楷体简体" w:cs="Times New Roman"/>
          <w:bCs/>
          <w:spacing w:val="-6"/>
          <w:kern w:val="2"/>
          <w:sz w:val="32"/>
          <w:szCs w:val="32"/>
          <w:lang w:val="en-US" w:eastAsia="zh-CN" w:bidi="ar-SA"/>
        </w:rPr>
        <w:t>（二）关于全面从严治党主体责任意识有待增强，“文山”整治不够彻底的整改落实情况</w:t>
      </w:r>
    </w:p>
    <w:p>
      <w:pPr>
        <w:pStyle w:val="2"/>
        <w:rPr>
          <w:rFonts w:hint="eastAsia" w:ascii="仿宋_GB2312" w:hAnsi="仿宋_GB2312" w:eastAsia="仿宋_GB2312" w:cs="仿宋_GB2312"/>
          <w:bCs/>
          <w:spacing w:val="-6"/>
          <w:kern w:val="2"/>
          <w:sz w:val="32"/>
          <w:szCs w:val="32"/>
          <w:lang w:val="en-US" w:eastAsia="zh-CN" w:bidi="ar-SA"/>
        </w:rPr>
      </w:pPr>
      <w:r>
        <w:rPr>
          <w:rFonts w:hint="eastAsia" w:ascii="仿宋_GB2312" w:hAnsi="仿宋_GB2312" w:eastAsia="仿宋_GB2312" w:cs="仿宋_GB2312"/>
          <w:bCs/>
          <w:spacing w:val="-6"/>
          <w:kern w:val="2"/>
          <w:sz w:val="32"/>
          <w:szCs w:val="32"/>
          <w:lang w:val="en-US" w:eastAsia="zh-CN" w:bidi="ar-SA"/>
        </w:rPr>
        <w:t>1、在履行全面从严治党主体责任思想认识有欠缺方面。要求严格落实班子成员“一岗双责"责任,严格执行提醒谈话制度，班子成员按照责任分工对党风廉政建设开展日常工作。目前，已要求班子成员签订“一岗双责”承诺书及廉政承诺书，坚持每季度开展党员干部谈心工作不动摇，提升履行从严治党责任意识。</w:t>
      </w:r>
    </w:p>
    <w:p>
      <w:pPr>
        <w:pStyle w:val="2"/>
        <w:rPr>
          <w:rFonts w:hint="eastAsia" w:ascii="仿宋_GB2312" w:hAnsi="仿宋_GB2312" w:eastAsia="仿宋_GB2312" w:cs="仿宋_GB2312"/>
          <w:bCs/>
          <w:spacing w:val="-6"/>
          <w:kern w:val="2"/>
          <w:sz w:val="32"/>
          <w:szCs w:val="32"/>
          <w:lang w:val="en-US" w:eastAsia="zh-CN" w:bidi="ar-SA"/>
        </w:rPr>
      </w:pPr>
      <w:r>
        <w:rPr>
          <w:rFonts w:hint="eastAsia" w:ascii="仿宋_GB2312" w:hAnsi="仿宋_GB2312" w:eastAsia="仿宋_GB2312" w:cs="仿宋_GB2312"/>
          <w:bCs/>
          <w:spacing w:val="-6"/>
          <w:kern w:val="2"/>
          <w:sz w:val="32"/>
          <w:szCs w:val="32"/>
          <w:lang w:val="en-US" w:eastAsia="zh-CN" w:bidi="ar-SA"/>
        </w:rPr>
        <w:t>2、在履行全面从严治党主体责任的压力传导不到位方面。龙王庙镇纪委认真研究，开展典型违规违纪案例警示教育，已组织观看警示纪录片6次，开展警示教育5次，通过警示教育传递从严治党的决心与压力，要求党员干部洁身自好，保持廉政为民本色。</w:t>
      </w:r>
    </w:p>
    <w:p>
      <w:pPr>
        <w:pStyle w:val="2"/>
        <w:rPr>
          <w:rFonts w:hint="eastAsia" w:ascii="仿宋_GB2312" w:hAnsi="仿宋_GB2312" w:eastAsia="仿宋_GB2312" w:cs="仿宋_GB2312"/>
          <w:bCs/>
          <w:spacing w:val="-6"/>
          <w:kern w:val="2"/>
          <w:sz w:val="32"/>
          <w:szCs w:val="32"/>
          <w:lang w:val="en-US" w:eastAsia="zh-CN" w:bidi="ar-SA"/>
        </w:rPr>
      </w:pPr>
      <w:r>
        <w:rPr>
          <w:rFonts w:hint="eastAsia" w:ascii="仿宋_GB2312" w:hAnsi="仿宋_GB2312" w:eastAsia="仿宋_GB2312" w:cs="仿宋_GB2312"/>
          <w:bCs/>
          <w:spacing w:val="-6"/>
          <w:kern w:val="2"/>
          <w:sz w:val="32"/>
          <w:szCs w:val="32"/>
          <w:lang w:val="en-US" w:eastAsia="zh-CN" w:bidi="ar-SA"/>
        </w:rPr>
        <w:t>3、在镇对“三重一大”规定执行不到位方面。召集班子成员及各村书记召开专项会议，强调加大村级“四议一审两公开”审核力度，全面杜绝会议记录造假行为；持续加强业务培训力度，结合每季度党建工作推进会议，对村干部进行“四议一审两公开”业务培训，进一步明确履行“四议一审两公开”事项、程序，全面提升村干部遵规守纪意识。</w:t>
      </w:r>
    </w:p>
    <w:p>
      <w:pPr>
        <w:pStyle w:val="2"/>
        <w:rPr>
          <w:rFonts w:hint="eastAsia" w:ascii="仿宋_GB2312" w:hAnsi="仿宋_GB2312" w:eastAsia="仿宋_GB2312" w:cs="仿宋_GB2312"/>
          <w:bCs/>
          <w:spacing w:val="-6"/>
          <w:kern w:val="2"/>
          <w:sz w:val="32"/>
          <w:szCs w:val="32"/>
          <w:lang w:val="en-US" w:eastAsia="zh-CN" w:bidi="ar-SA"/>
        </w:rPr>
      </w:pPr>
      <w:r>
        <w:rPr>
          <w:rFonts w:hint="eastAsia" w:ascii="仿宋_GB2312" w:hAnsi="仿宋_GB2312" w:eastAsia="仿宋_GB2312" w:cs="仿宋_GB2312"/>
          <w:bCs/>
          <w:spacing w:val="-6"/>
          <w:kern w:val="2"/>
          <w:sz w:val="32"/>
          <w:szCs w:val="32"/>
          <w:lang w:val="en-US" w:eastAsia="zh-CN" w:bidi="ar-SA"/>
        </w:rPr>
        <w:t>4、对执行民主集中制不严格方面。针对“党委会议记录不规范”情况。已要求今后党委会由组织委员记录，实行专人负责制度。同时强调党委会程序规范2次，全面规范组织程序。</w:t>
      </w:r>
    </w:p>
    <w:p>
      <w:pPr>
        <w:pStyle w:val="2"/>
        <w:rPr>
          <w:rFonts w:hint="eastAsia" w:ascii="仿宋_GB2312" w:hAnsi="仿宋_GB2312" w:eastAsia="仿宋_GB2312" w:cs="仿宋_GB2312"/>
          <w:bCs/>
          <w:spacing w:val="-6"/>
          <w:kern w:val="2"/>
          <w:sz w:val="32"/>
          <w:szCs w:val="32"/>
          <w:lang w:val="en-US" w:eastAsia="zh-CN" w:bidi="ar-SA"/>
        </w:rPr>
      </w:pPr>
      <w:r>
        <w:rPr>
          <w:rFonts w:hint="eastAsia" w:ascii="仿宋_GB2312" w:hAnsi="仿宋_GB2312" w:eastAsia="仿宋_GB2312" w:cs="仿宋_GB2312"/>
          <w:bCs/>
          <w:spacing w:val="-6"/>
          <w:kern w:val="2"/>
          <w:sz w:val="32"/>
          <w:szCs w:val="32"/>
          <w:lang w:val="en-US" w:eastAsia="zh-CN" w:bidi="ar-SA"/>
        </w:rPr>
        <w:t>5、对财经纪律意识淡薄方面。一是会计核算不严格；二是结算流程不规范；三是财务审核把关不严。针对以上问题，首先，加强账务管理，严格预算管理，规范经费支出，要求大额经费支出等重大财经事项须经镇党委会研究决定。其次，规范结算流程，按月对结算工作进行核实，细化经费支出的决策、审批、公开等流程，按照财务有关要求，及时公开公示财务信息。再次，要求平时加强财务工作监管力度，对于各村出现“现金赤字”的财务情况进行整改，现已全部调账。最后，经查，2017年、2018年龙王庙镇三公经费未超预算支出，超出预算部分为各事业单位专项支出，以后将加强会计记账规范化管理。</w:t>
      </w:r>
    </w:p>
    <w:p>
      <w:pPr>
        <w:pStyle w:val="2"/>
        <w:rPr>
          <w:rFonts w:hint="eastAsia" w:ascii="Times New Roman" w:hAnsi="Times New Roman" w:eastAsia="方正楷体简体" w:cs="Times New Roman"/>
          <w:bCs/>
          <w:spacing w:val="-6"/>
          <w:kern w:val="2"/>
          <w:sz w:val="32"/>
          <w:szCs w:val="32"/>
          <w:lang w:val="en-US" w:eastAsia="zh-CN" w:bidi="ar-SA"/>
        </w:rPr>
      </w:pPr>
      <w:r>
        <w:rPr>
          <w:rFonts w:hint="eastAsia" w:ascii="Times New Roman" w:hAnsi="Times New Roman" w:eastAsia="方正楷体简体" w:cs="Times New Roman"/>
          <w:bCs/>
          <w:spacing w:val="-6"/>
          <w:kern w:val="2"/>
          <w:sz w:val="32"/>
          <w:szCs w:val="32"/>
          <w:lang w:val="en-US" w:eastAsia="zh-CN" w:bidi="ar-SA"/>
        </w:rPr>
        <w:t>（三）关于</w:t>
      </w:r>
      <w:r>
        <w:rPr>
          <w:rFonts w:hint="eastAsia" w:ascii="Times New Roman" w:hAnsi="Times New Roman" w:eastAsia="方正楷体简体" w:cs="Times New Roman"/>
          <w:bCs/>
          <w:spacing w:val="-6"/>
          <w:kern w:val="2"/>
          <w:sz w:val="32"/>
          <w:szCs w:val="32"/>
          <w:lang w:val="en-US" w:eastAsia="zh-CN" w:bidi="ar-SA"/>
        </w:rPr>
        <w:t>基层党组织建设仍存在薄弱环节，干部和党员队伍教育不够深入的整改落实情况</w:t>
      </w:r>
    </w:p>
    <w:p>
      <w:pPr>
        <w:spacing w:line="579" w:lineRule="exact"/>
        <w:ind w:firstLine="616"/>
        <w:rPr>
          <w:rFonts w:hint="eastAsia" w:ascii="仿宋_GB2312" w:hAnsi="仿宋_GB2312" w:eastAsia="仿宋_GB2312" w:cs="仿宋_GB2312"/>
          <w:bCs/>
          <w:spacing w:val="-6"/>
          <w:sz w:val="32"/>
          <w:szCs w:val="32"/>
          <w:lang w:val="en-US" w:eastAsia="zh-CN"/>
        </w:rPr>
      </w:pPr>
      <w:r>
        <w:rPr>
          <w:rFonts w:hint="eastAsia" w:ascii="仿宋_GB2312" w:hAnsi="仿宋_GB2312" w:eastAsia="仿宋_GB2312" w:cs="仿宋_GB2312"/>
          <w:bCs/>
          <w:spacing w:val="-6"/>
          <w:sz w:val="32"/>
          <w:szCs w:val="32"/>
          <w:lang w:val="en-US" w:eastAsia="zh-CN"/>
        </w:rPr>
        <w:t>1、对党组织“头雁”作用发挥不充分方面。对于“2020、2021年，村支委会议以及党员大会，均以理论学习为主，没有研究本村经济发展美丽乡村建设以及农民增收方面的议题。”问题，已要求各村党组织结合本村经济发展和美丽乡村建设每半年开展1次理论学习和研讨活动，提升党组织书记通过党建引领乡村振兴作用发挥。</w:t>
      </w:r>
    </w:p>
    <w:p>
      <w:pPr>
        <w:spacing w:line="579" w:lineRule="exact"/>
        <w:ind w:firstLine="616"/>
        <w:rPr>
          <w:rFonts w:hint="eastAsia" w:ascii="仿宋_GB2312" w:hAnsi="仿宋_GB2312" w:eastAsia="仿宋_GB2312" w:cs="仿宋_GB2312"/>
          <w:bCs/>
          <w:spacing w:val="-6"/>
          <w:sz w:val="32"/>
          <w:szCs w:val="32"/>
          <w:lang w:val="en-US" w:eastAsia="zh-CN"/>
        </w:rPr>
      </w:pPr>
      <w:r>
        <w:rPr>
          <w:rFonts w:hint="eastAsia" w:ascii="仿宋_GB2312" w:hAnsi="仿宋_GB2312" w:eastAsia="仿宋_GB2312" w:cs="仿宋_GB2312"/>
          <w:bCs/>
          <w:spacing w:val="-6"/>
          <w:sz w:val="32"/>
          <w:szCs w:val="32"/>
          <w:lang w:val="en-US" w:eastAsia="zh-CN"/>
        </w:rPr>
        <w:t>2、对“三会一课”内容质量不高方面。对“2019年以来，全镇8个村的“三会一课”记录中，政治学习口号多、调门高，支部会议次数不足、支委会决策作用缺失、会议签到簿和留存照片造假等现象普遍存在。”问题，要求镇组织办每季度开展党建工作推进会，对各村党务工作者进行再培训，会上要对“三会一课”会议的记录情况进行严格要求， 施行镇村月、季“三会一课”督导检查工作，目前已检查7次，“三会一课”质量与水平有了较大提升。</w:t>
      </w:r>
    </w:p>
    <w:p>
      <w:pPr>
        <w:spacing w:line="579" w:lineRule="exact"/>
        <w:ind w:firstLine="616"/>
        <w:rPr>
          <w:rFonts w:hint="default" w:ascii="仿宋_GB2312" w:hAnsi="仿宋_GB2312" w:eastAsia="仿宋_GB2312" w:cs="仿宋_GB2312"/>
          <w:bCs/>
          <w:spacing w:val="-6"/>
          <w:sz w:val="32"/>
          <w:szCs w:val="32"/>
          <w:lang w:val="en-US" w:eastAsia="zh-CN"/>
        </w:rPr>
      </w:pPr>
      <w:r>
        <w:rPr>
          <w:rFonts w:hint="eastAsia" w:ascii="仿宋_GB2312" w:hAnsi="仿宋_GB2312" w:eastAsia="仿宋_GB2312" w:cs="仿宋_GB2312"/>
          <w:bCs/>
          <w:spacing w:val="-6"/>
          <w:sz w:val="32"/>
          <w:szCs w:val="32"/>
          <w:lang w:val="en-US" w:eastAsia="zh-CN"/>
        </w:rPr>
        <w:t>3、对组织生活不重实效方面。针对“个别党总支以抽签形式决定组织生活会上开展相互批评人员，个人发言出现雷同现象，也未开展相互批评。”问题，镇组织办每季度开展对组织生活的跟进监督检查，落实好每季度抽查、每半年全覆盖检查，及时通报检查情况，发现问题立即要求整改，全面保障组织生活严肃性。</w:t>
      </w:r>
    </w:p>
    <w:p>
      <w:pPr>
        <w:spacing w:line="579" w:lineRule="exact"/>
        <w:ind w:firstLine="616"/>
        <w:rPr>
          <w:rFonts w:hint="default" w:ascii="仿宋_GB2312" w:hAnsi="仿宋_GB2312" w:eastAsia="仿宋_GB2312" w:cs="仿宋_GB2312"/>
          <w:bCs/>
          <w:spacing w:val="-6"/>
          <w:sz w:val="32"/>
          <w:szCs w:val="32"/>
          <w:lang w:val="en-US" w:eastAsia="zh-CN"/>
        </w:rPr>
      </w:pPr>
      <w:r>
        <w:rPr>
          <w:rFonts w:hint="eastAsia" w:ascii="仿宋_GB2312" w:hAnsi="仿宋_GB2312" w:eastAsia="仿宋_GB2312" w:cs="仿宋_GB2312"/>
          <w:bCs/>
          <w:spacing w:val="-6"/>
          <w:sz w:val="32"/>
          <w:szCs w:val="32"/>
          <w:lang w:val="en-US" w:eastAsia="zh-CN"/>
        </w:rPr>
        <w:t>4、选人用人工作存在短板。针对“2019年以来，龙王庙镇党委逐年制定的年轻干部培养计划中，培养举措未能体现因人制宜，培养方法与培养对象特点特长匹配度不高，年轻干部梯队建设有差距，机关因干部调离等原因出现的“断档”现象至今未能解决。”的问题，镇党委高度重视，要求镇组织部门建立完善镇内年轻干部档案，增强干部积极性。同时要求镇组织、纪委、团委等部门积极配合好镇党委考察年轻干部，并积极制定年轻干部相关档案、培养计划，目前已为符合要求的年轻干部全部建立《龙王庙镇年轻干部档案》并对镇内年轻干部开展培训4次。</w:t>
      </w:r>
    </w:p>
    <w:p>
      <w:pPr>
        <w:spacing w:line="579" w:lineRule="exact"/>
        <w:ind w:firstLine="616"/>
        <w:rPr>
          <w:rFonts w:ascii="Times New Roman" w:hAnsi="Times New Roman" w:eastAsia="方正黑体简体" w:cs="Times New Roman"/>
          <w:b/>
          <w:bCs w:val="0"/>
          <w:spacing w:val="-6"/>
          <w:sz w:val="32"/>
          <w:szCs w:val="32"/>
        </w:rPr>
      </w:pPr>
      <w:r>
        <w:rPr>
          <w:rFonts w:ascii="Times New Roman" w:hAnsi="Times New Roman" w:eastAsia="方正黑体简体" w:cs="Times New Roman"/>
          <w:b/>
          <w:bCs w:val="0"/>
          <w:spacing w:val="-6"/>
          <w:sz w:val="32"/>
          <w:szCs w:val="32"/>
        </w:rPr>
        <w:t>二、下一步工作打算及计划</w:t>
      </w:r>
    </w:p>
    <w:p>
      <w:pPr>
        <w:spacing w:line="579" w:lineRule="exact"/>
        <w:ind w:firstLine="616"/>
        <w:rPr>
          <w:rFonts w:hint="eastAsia" w:ascii="Times New Roman" w:hAnsi="Times New Roman" w:eastAsia="方正黑体简体" w:cs="Times New Roman"/>
          <w:bCs/>
          <w:spacing w:val="-6"/>
          <w:sz w:val="32"/>
          <w:szCs w:val="32"/>
        </w:rPr>
      </w:pPr>
      <w:r>
        <w:rPr>
          <w:rFonts w:hint="eastAsia" w:ascii="Times New Roman" w:hAnsi="Times New Roman" w:eastAsia="方正黑体简体" w:cs="Times New Roman"/>
          <w:bCs/>
          <w:spacing w:val="-6"/>
          <w:sz w:val="32"/>
          <w:szCs w:val="32"/>
        </w:rPr>
        <w:t>（一）</w:t>
      </w:r>
      <w:r>
        <w:rPr>
          <w:rFonts w:ascii="Times New Roman" w:hAnsi="Times New Roman" w:eastAsia="方正黑体简体" w:cs="Times New Roman"/>
          <w:bCs/>
          <w:spacing w:val="-6"/>
          <w:sz w:val="32"/>
          <w:szCs w:val="32"/>
        </w:rPr>
        <w:t>夯实“两个责任”，</w:t>
      </w:r>
      <w:r>
        <w:rPr>
          <w:rFonts w:hint="eastAsia" w:ascii="Times New Roman" w:hAnsi="Times New Roman" w:eastAsia="方正黑体简体" w:cs="Times New Roman"/>
          <w:bCs/>
          <w:spacing w:val="-6"/>
          <w:sz w:val="32"/>
          <w:szCs w:val="32"/>
          <w:lang w:val="en-US" w:eastAsia="zh-CN"/>
        </w:rPr>
        <w:t>在全面从严治党</w:t>
      </w:r>
      <w:r>
        <w:rPr>
          <w:rFonts w:hint="eastAsia" w:ascii="Times New Roman" w:hAnsi="Times New Roman" w:eastAsia="方正黑体简体" w:cs="Times New Roman"/>
          <w:bCs/>
          <w:spacing w:val="-6"/>
          <w:sz w:val="32"/>
          <w:szCs w:val="32"/>
        </w:rPr>
        <w:t>上持续发力</w:t>
      </w:r>
    </w:p>
    <w:p>
      <w:pPr>
        <w:spacing w:line="579" w:lineRule="exact"/>
        <w:ind w:firstLine="616"/>
        <w:rPr>
          <w:rFonts w:hint="eastAsia" w:ascii="仿宋_GB2312" w:hAnsi="仿宋_GB2312" w:eastAsia="仿宋_GB2312" w:cs="仿宋_GB2312"/>
          <w:bCs/>
          <w:spacing w:val="-6"/>
          <w:sz w:val="32"/>
          <w:szCs w:val="32"/>
          <w:lang w:eastAsia="zh-CN"/>
        </w:rPr>
      </w:pPr>
      <w:r>
        <w:rPr>
          <w:rFonts w:hint="eastAsia" w:ascii="仿宋_GB2312" w:hAnsi="仿宋_GB2312" w:eastAsia="仿宋_GB2312" w:cs="仿宋_GB2312"/>
          <w:bCs/>
          <w:spacing w:val="-6"/>
          <w:sz w:val="32"/>
          <w:szCs w:val="32"/>
          <w:lang w:val="en-US" w:eastAsia="zh-CN"/>
        </w:rPr>
        <w:t>认真履行管党治党主体责任，切实把党风廉政建设和反腐败工作摆在重要位置，严格执行全面从严治党要求，坚持以上率下，抓住“关键少数”，层层压实责任，认真执行“一岗双责”，推动全面从严治党向基层延伸，更好发挥党的领导核心作用，做到真管真严、敢管敢严、长管长严。加大问责力度，坚持“一案双查”，通报典型案例，增强压力传导，始终保持惩治腐败高压态势</w:t>
      </w:r>
      <w:r>
        <w:rPr>
          <w:rFonts w:hint="eastAsia" w:ascii="仿宋_GB2312" w:hAnsi="仿宋_GB2312" w:eastAsia="仿宋_GB2312" w:cs="仿宋_GB2312"/>
          <w:bCs/>
          <w:spacing w:val="-6"/>
          <w:sz w:val="32"/>
          <w:szCs w:val="32"/>
          <w:lang w:eastAsia="zh-CN"/>
        </w:rPr>
        <w:t>。</w:t>
      </w:r>
    </w:p>
    <w:p>
      <w:pPr>
        <w:spacing w:line="579" w:lineRule="exact"/>
        <w:ind w:firstLine="616"/>
        <w:rPr>
          <w:rFonts w:hint="eastAsia" w:ascii="Times New Roman" w:hAnsi="Times New Roman" w:eastAsia="方正黑体简体" w:cs="Times New Roman"/>
          <w:bCs/>
          <w:spacing w:val="-6"/>
          <w:sz w:val="32"/>
          <w:szCs w:val="32"/>
        </w:rPr>
      </w:pPr>
      <w:r>
        <w:rPr>
          <w:rFonts w:hint="eastAsia" w:ascii="Times New Roman" w:hAnsi="Times New Roman" w:eastAsia="方正黑体简体" w:cs="Times New Roman"/>
          <w:bCs/>
          <w:spacing w:val="-6"/>
          <w:sz w:val="32"/>
          <w:szCs w:val="32"/>
          <w:lang w:eastAsia="zh-CN"/>
        </w:rPr>
        <w:t>（</w:t>
      </w:r>
      <w:r>
        <w:rPr>
          <w:rFonts w:hint="eastAsia" w:ascii="Times New Roman" w:hAnsi="Times New Roman" w:eastAsia="方正黑体简体" w:cs="Times New Roman"/>
          <w:bCs/>
          <w:spacing w:val="-6"/>
          <w:sz w:val="32"/>
          <w:szCs w:val="32"/>
          <w:lang w:val="en-US" w:eastAsia="zh-CN"/>
        </w:rPr>
        <w:t>二</w:t>
      </w:r>
      <w:r>
        <w:rPr>
          <w:rFonts w:hint="eastAsia" w:ascii="Times New Roman" w:hAnsi="Times New Roman" w:eastAsia="方正黑体简体" w:cs="Times New Roman"/>
          <w:bCs/>
          <w:spacing w:val="-6"/>
          <w:sz w:val="32"/>
          <w:szCs w:val="32"/>
          <w:lang w:eastAsia="zh-CN"/>
        </w:rPr>
        <w:t>）</w:t>
      </w:r>
      <w:r>
        <w:rPr>
          <w:rFonts w:hint="eastAsia" w:ascii="Times New Roman" w:hAnsi="Times New Roman" w:eastAsia="方正黑体简体" w:cs="Times New Roman"/>
          <w:bCs/>
          <w:spacing w:val="-6"/>
          <w:sz w:val="32"/>
          <w:szCs w:val="32"/>
        </w:rPr>
        <w:t>强化跟踪检查，在提升整改质效上持续发力</w:t>
      </w:r>
    </w:p>
    <w:p>
      <w:pPr>
        <w:spacing w:line="579" w:lineRule="exact"/>
        <w:ind w:firstLine="616"/>
        <w:rPr>
          <w:rFonts w:hint="eastAsia"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围绕全面完成整改落实工作，坚持目标任务不变、标准要求不降、工作力度不减，持续做好后续整改工作。采取</w:t>
      </w:r>
      <w:r>
        <w:rPr>
          <w:rFonts w:hint="eastAsia" w:ascii="仿宋_GB2312" w:hAnsi="仿宋_GB2312" w:eastAsia="仿宋_GB2312" w:cs="仿宋_GB2312"/>
          <w:bCs/>
          <w:spacing w:val="-6"/>
          <w:sz w:val="32"/>
          <w:szCs w:val="32"/>
          <w:lang w:eastAsia="zh-CN"/>
        </w:rPr>
        <w:t>督导检查、</w:t>
      </w:r>
      <w:r>
        <w:rPr>
          <w:rFonts w:hint="eastAsia" w:ascii="仿宋_GB2312" w:hAnsi="仿宋_GB2312" w:eastAsia="仿宋_GB2312" w:cs="仿宋_GB2312"/>
          <w:bCs/>
          <w:spacing w:val="-6"/>
          <w:sz w:val="32"/>
          <w:szCs w:val="32"/>
        </w:rPr>
        <w:t>专项督查等措施，及时掌握了解整改落实推进情况，确保问题整改到哪里、督促检查就跟进到哪里。针对已经整改到位的事项，适时组织“回头看”，发现问题立即纠正，问题严重的“回炉”返工</w:t>
      </w:r>
      <w:r>
        <w:rPr>
          <w:rFonts w:hint="eastAsia" w:ascii="仿宋_GB2312" w:hAnsi="仿宋_GB2312" w:eastAsia="仿宋_GB2312" w:cs="仿宋_GB2312"/>
          <w:bCs/>
          <w:spacing w:val="-6"/>
          <w:sz w:val="32"/>
          <w:szCs w:val="32"/>
          <w:lang w:eastAsia="zh-CN"/>
        </w:rPr>
        <w:t>，</w:t>
      </w:r>
      <w:r>
        <w:rPr>
          <w:rFonts w:hint="eastAsia" w:ascii="仿宋_GB2312" w:hAnsi="仿宋_GB2312" w:eastAsia="仿宋_GB2312" w:cs="仿宋_GB2312"/>
          <w:bCs/>
          <w:spacing w:val="-6"/>
          <w:sz w:val="32"/>
          <w:szCs w:val="32"/>
        </w:rPr>
        <w:t>确保巡视整改不留尾巴。持续加大查办案件工作力度，坚持问题导向，严查损害群众利益问题的线索。同时，做好整改情况公开工作，自觉接受群众和社会监督，确保整改成效经得起检验推敲。</w:t>
      </w:r>
    </w:p>
    <w:p>
      <w:pPr>
        <w:spacing w:line="579" w:lineRule="exact"/>
        <w:ind w:firstLine="616"/>
        <w:rPr>
          <w:rFonts w:hint="eastAsia" w:ascii="Times New Roman" w:hAnsi="Times New Roman" w:eastAsia="方正黑体简体" w:cs="Times New Roman"/>
          <w:bCs/>
          <w:spacing w:val="-6"/>
          <w:sz w:val="32"/>
          <w:szCs w:val="32"/>
          <w:lang w:eastAsia="zh-CN"/>
        </w:rPr>
      </w:pPr>
      <w:r>
        <w:rPr>
          <w:rFonts w:hint="eastAsia" w:ascii="Times New Roman" w:hAnsi="Times New Roman" w:eastAsia="方正黑体简体" w:cs="Times New Roman"/>
          <w:bCs/>
          <w:spacing w:val="-6"/>
          <w:sz w:val="32"/>
          <w:szCs w:val="32"/>
          <w:lang w:eastAsia="zh-CN"/>
        </w:rPr>
        <w:t>（三）抓好队伍建设，在提高群众满意度上持续发力。</w:t>
      </w:r>
    </w:p>
    <w:p>
      <w:pPr>
        <w:spacing w:line="579" w:lineRule="exact"/>
        <w:ind w:firstLine="616"/>
        <w:rPr>
          <w:rFonts w:hint="eastAsia"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强化落实“两个责任”，严格执行民主集中制和重大事项集体讨论决定制度，发挥班子的集体领导力，提高民主决策、科学决策、依法决策水平。持续强化党性党规教育，引导广大党员干部自觉牢记党规党纪，自觉按照党员标准规范言行，坚定理想信念，树立崇高道德追求，养成纪律自觉，守住规矩底线。教育引导广大党员干部正确处理好巡察反馈问题整改工作与推动当前工作的关系，坚持以人民为中心，着力围绕服务群众推动当前工作，把巡察工作成效体现在整改落实的具体举措上，体现在实实在在为群众办事的工作成效上，扎实开展党的基层组织建设、精神文明建设、经济建设、民生事业、农村人居环境整治等各项工作。通过整改落实，进一步推进龙王庙镇各项工作，提升群众幸福感、获得感。把巡察整改成果转化为推动事业发展的强劲动力，推进各项快速健康发展。</w:t>
      </w:r>
    </w:p>
    <w:p>
      <w:pPr>
        <w:spacing w:line="579" w:lineRule="exact"/>
        <w:ind w:firstLine="616"/>
        <w:rPr>
          <w:rFonts w:hint="eastAsia"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欢迎广大干部群众对巡察整改落实情况进行监督。如有意见建议，请及时向我们反映。联系方式：电话</w:t>
      </w:r>
      <w:r>
        <w:rPr>
          <w:rFonts w:hint="eastAsia" w:ascii="仿宋_GB2312" w:hAnsi="仿宋_GB2312" w:eastAsia="仿宋_GB2312" w:cs="仿宋_GB2312"/>
          <w:bCs/>
          <w:spacing w:val="-6"/>
          <w:sz w:val="32"/>
          <w:szCs w:val="32"/>
          <w:lang w:eastAsia="zh-CN"/>
        </w:rPr>
        <w:t>：</w:t>
      </w:r>
      <w:r>
        <w:rPr>
          <w:rFonts w:hint="eastAsia" w:ascii="仿宋_GB2312" w:hAnsi="仿宋_GB2312" w:eastAsia="仿宋_GB2312" w:cs="仿宋_GB2312"/>
          <w:bCs/>
          <w:spacing w:val="-6"/>
          <w:sz w:val="32"/>
          <w:szCs w:val="32"/>
          <w:lang w:val="en-US" w:eastAsia="zh-CN"/>
        </w:rPr>
        <w:t>7902205</w:t>
      </w:r>
      <w:r>
        <w:rPr>
          <w:rFonts w:hint="eastAsia" w:ascii="仿宋_GB2312" w:hAnsi="仿宋_GB2312" w:eastAsia="仿宋_GB2312" w:cs="仿宋_GB2312"/>
          <w:bCs/>
          <w:spacing w:val="-6"/>
          <w:sz w:val="32"/>
          <w:szCs w:val="32"/>
        </w:rPr>
        <w:t>；邮政信箱</w:t>
      </w:r>
      <w:r>
        <w:rPr>
          <w:rFonts w:hint="eastAsia" w:ascii="仿宋_GB2312" w:hAnsi="仿宋_GB2312" w:eastAsia="仿宋_GB2312" w:cs="仿宋_GB2312"/>
          <w:bCs/>
          <w:spacing w:val="-6"/>
          <w:sz w:val="32"/>
          <w:szCs w:val="32"/>
          <w:lang w:eastAsia="zh-CN"/>
        </w:rPr>
        <w:t>：东港市龙王庙镇龙王庙村三组龙王庙镇人民政府</w:t>
      </w:r>
      <w:r>
        <w:rPr>
          <w:rFonts w:hint="eastAsia" w:ascii="仿宋_GB2312" w:hAnsi="仿宋_GB2312" w:eastAsia="仿宋_GB2312" w:cs="仿宋_GB2312"/>
          <w:bCs/>
          <w:spacing w:val="-6"/>
          <w:sz w:val="32"/>
          <w:szCs w:val="32"/>
        </w:rPr>
        <w:t>。</w:t>
      </w:r>
    </w:p>
    <w:p>
      <w:pPr>
        <w:spacing w:line="579" w:lineRule="exact"/>
        <w:ind w:firstLine="616"/>
        <w:rPr>
          <w:rFonts w:ascii="Times New Roman" w:hAnsi="Times New Roman" w:eastAsia="方正仿宋简体" w:cs="Times New Roman"/>
          <w:bCs/>
          <w:spacing w:val="-6"/>
          <w:sz w:val="32"/>
          <w:szCs w:val="32"/>
        </w:rPr>
      </w:pPr>
    </w:p>
    <w:p>
      <w:pPr>
        <w:spacing w:line="579" w:lineRule="exact"/>
        <w:ind w:firstLine="616"/>
        <w:jc w:val="left"/>
        <w:rPr>
          <w:rFonts w:ascii="Times New Roman" w:hAnsi="Times New Roman" w:eastAsia="方正仿宋简体" w:cs="Times New Roman"/>
          <w:bCs/>
          <w:spacing w:val="-6"/>
          <w:sz w:val="32"/>
          <w:szCs w:val="32"/>
        </w:rPr>
      </w:pPr>
      <w:r>
        <w:rPr>
          <w:rFonts w:ascii="Times New Roman" w:hAnsi="Times New Roman" w:eastAsia="方正仿宋简体" w:cs="Times New Roman"/>
          <w:bCs/>
          <w:spacing w:val="-6"/>
          <w:sz w:val="32"/>
          <w:szCs w:val="32"/>
        </w:rPr>
        <w:t xml:space="preserve">                        </w:t>
      </w:r>
    </w:p>
    <w:p>
      <w:pPr>
        <w:spacing w:line="579" w:lineRule="exact"/>
        <w:ind w:firstLine="4287" w:firstLineChars="1392"/>
        <w:jc w:val="left"/>
        <w:rPr>
          <w:rFonts w:ascii="Times New Roman" w:hAnsi="Times New Roman" w:eastAsia="方正仿宋简体" w:cs="Times New Roman"/>
          <w:bCs/>
          <w:spacing w:val="-6"/>
          <w:sz w:val="32"/>
          <w:szCs w:val="32"/>
        </w:rPr>
      </w:pPr>
    </w:p>
    <w:p>
      <w:pPr>
        <w:spacing w:line="579" w:lineRule="exact"/>
        <w:ind w:firstLine="4287" w:firstLineChars="1392"/>
        <w:jc w:val="left"/>
        <w:rPr>
          <w:rFonts w:ascii="Times New Roman" w:hAnsi="Times New Roman" w:eastAsia="方正仿宋简体" w:cs="Times New Roman"/>
          <w:bCs/>
          <w:spacing w:val="-6"/>
          <w:sz w:val="32"/>
          <w:szCs w:val="32"/>
        </w:rPr>
      </w:pPr>
    </w:p>
    <w:p>
      <w:pPr>
        <w:spacing w:line="579" w:lineRule="exact"/>
        <w:ind w:firstLine="4287" w:firstLineChars="1392"/>
        <w:jc w:val="left"/>
        <w:rPr>
          <w:rFonts w:ascii="Times New Roman" w:hAnsi="Times New Roman" w:eastAsia="方正仿宋简体" w:cs="Times New Roman"/>
          <w:bCs/>
          <w:spacing w:val="-6"/>
          <w:sz w:val="32"/>
          <w:szCs w:val="32"/>
        </w:rPr>
      </w:pPr>
      <w:r>
        <w:rPr>
          <w:rFonts w:ascii="Times New Roman" w:hAnsi="Times New Roman" w:eastAsia="方正仿宋简体" w:cs="Times New Roman"/>
          <w:bCs/>
          <w:spacing w:val="-6"/>
          <w:sz w:val="32"/>
          <w:szCs w:val="32"/>
        </w:rPr>
        <w:t>中共</w:t>
      </w:r>
      <w:r>
        <w:rPr>
          <w:rFonts w:hint="eastAsia" w:ascii="Times New Roman" w:hAnsi="Times New Roman" w:eastAsia="方正仿宋简体" w:cs="Times New Roman"/>
          <w:bCs/>
          <w:spacing w:val="-6"/>
          <w:sz w:val="32"/>
          <w:szCs w:val="32"/>
          <w:lang w:eastAsia="zh-CN"/>
        </w:rPr>
        <w:t>东港市龙王镇委员会</w:t>
      </w:r>
      <w:r>
        <w:rPr>
          <w:rFonts w:ascii="Times New Roman" w:hAnsi="Times New Roman" w:eastAsia="方正仿宋简体" w:cs="Times New Roman"/>
          <w:bCs/>
          <w:spacing w:val="-6"/>
          <w:sz w:val="32"/>
          <w:szCs w:val="32"/>
        </w:rPr>
        <w:t xml:space="preserve">     </w:t>
      </w:r>
    </w:p>
    <w:p>
      <w:pPr>
        <w:spacing w:line="579" w:lineRule="exact"/>
        <w:ind w:firstLine="616"/>
        <w:jc w:val="left"/>
        <w:rPr>
          <w:rFonts w:ascii="Times New Roman" w:hAnsi="Times New Roman" w:eastAsia="方正仿宋简体" w:cs="Times New Roman"/>
          <w:bCs/>
          <w:spacing w:val="-6"/>
          <w:sz w:val="32"/>
          <w:szCs w:val="32"/>
        </w:rPr>
      </w:pPr>
      <w:r>
        <w:rPr>
          <w:rFonts w:ascii="Times New Roman" w:hAnsi="Times New Roman" w:eastAsia="方正仿宋简体" w:cs="Times New Roman"/>
          <w:bCs/>
          <w:spacing w:val="-6"/>
          <w:sz w:val="32"/>
          <w:szCs w:val="32"/>
        </w:rPr>
        <w:t xml:space="preserve">                             </w:t>
      </w:r>
      <w:r>
        <w:rPr>
          <w:rFonts w:hint="eastAsia" w:ascii="Times New Roman" w:hAnsi="Times New Roman" w:eastAsia="方正仿宋简体" w:cs="Times New Roman"/>
          <w:bCs/>
          <w:spacing w:val="-6"/>
          <w:sz w:val="32"/>
          <w:szCs w:val="32"/>
          <w:lang w:val="en-US" w:eastAsia="zh-CN"/>
        </w:rPr>
        <w:t>2023</w:t>
      </w:r>
      <w:r>
        <w:rPr>
          <w:rFonts w:ascii="Times New Roman" w:hAnsi="Times New Roman" w:eastAsia="方正仿宋简体" w:cs="Times New Roman"/>
          <w:bCs/>
          <w:spacing w:val="-6"/>
          <w:sz w:val="32"/>
          <w:szCs w:val="32"/>
        </w:rPr>
        <w:t>年</w:t>
      </w:r>
      <w:r>
        <w:rPr>
          <w:rFonts w:hint="eastAsia" w:ascii="Times New Roman" w:hAnsi="Times New Roman" w:eastAsia="方正仿宋简体" w:cs="Times New Roman"/>
          <w:bCs/>
          <w:spacing w:val="-6"/>
          <w:sz w:val="32"/>
          <w:szCs w:val="32"/>
          <w:lang w:val="en-US" w:eastAsia="zh-CN"/>
        </w:rPr>
        <w:t>6</w:t>
      </w:r>
      <w:r>
        <w:rPr>
          <w:rFonts w:ascii="Times New Roman" w:hAnsi="Times New Roman" w:eastAsia="方正仿宋简体" w:cs="Times New Roman"/>
          <w:bCs/>
          <w:spacing w:val="-6"/>
          <w:sz w:val="32"/>
          <w:szCs w:val="32"/>
        </w:rPr>
        <w:t>月</w:t>
      </w:r>
      <w:r>
        <w:rPr>
          <w:rFonts w:hint="eastAsia" w:ascii="Times New Roman" w:hAnsi="Times New Roman" w:eastAsia="方正仿宋简体" w:cs="Times New Roman"/>
          <w:bCs/>
          <w:spacing w:val="-6"/>
          <w:sz w:val="32"/>
          <w:szCs w:val="32"/>
          <w:lang w:val="en-US" w:eastAsia="zh-CN"/>
        </w:rPr>
        <w:t>30</w:t>
      </w:r>
      <w:r>
        <w:rPr>
          <w:rFonts w:ascii="Times New Roman" w:hAnsi="Times New Roman" w:eastAsia="方正仿宋简体" w:cs="Times New Roman"/>
          <w:bCs/>
          <w:spacing w:val="-6"/>
          <w:sz w:val="32"/>
          <w:szCs w:val="32"/>
        </w:rPr>
        <w:t>日</w:t>
      </w:r>
    </w:p>
    <w:p/>
    <w:sectPr>
      <w:footerReference r:id="rId3" w:type="default"/>
      <w:pgSz w:w="11906" w:h="16838"/>
      <w:pgMar w:top="2211" w:right="1531" w:bottom="1871" w:left="153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0FB0945B-785A-4E9F-9FA5-371D80CA64AA}"/>
  </w:font>
  <w:font w:name="仿宋_GB2312">
    <w:panose1 w:val="02010609030101010101"/>
    <w:charset w:val="86"/>
    <w:family w:val="modern"/>
    <w:pitch w:val="default"/>
    <w:sig w:usb0="00000001" w:usb1="080E0000" w:usb2="00000000" w:usb3="00000000" w:csb0="00040000" w:csb1="00000000"/>
    <w:embedRegular r:id="rId2" w:fontKey="{38CDCACB-2EB1-4C2A-8B12-BC71778E9E27}"/>
  </w:font>
  <w:font w:name="方正小标宋简体">
    <w:panose1 w:val="02000000000000000000"/>
    <w:charset w:val="86"/>
    <w:family w:val="script"/>
    <w:pitch w:val="default"/>
    <w:sig w:usb0="00000001" w:usb1="08000000" w:usb2="00000000" w:usb3="00000000" w:csb0="00040000" w:csb1="00000000"/>
    <w:embedRegular r:id="rId3" w:fontKey="{FB1D8961-6EB4-4B0C-AAF7-C0F72505D2C8}"/>
  </w:font>
  <w:font w:name="方正仿宋简体">
    <w:panose1 w:val="02000000000000000000"/>
    <w:charset w:val="86"/>
    <w:family w:val="auto"/>
    <w:pitch w:val="default"/>
    <w:sig w:usb0="A00002BF" w:usb1="184F6CFA" w:usb2="00000012" w:usb3="00000000" w:csb0="00040001" w:csb1="00000000"/>
    <w:embedRegular r:id="rId4" w:fontKey="{76FB5DFA-03F6-4103-ACD1-6F62C4EE45C2}"/>
  </w:font>
  <w:font w:name="方正黑体简体">
    <w:altName w:val="微软雅黑"/>
    <w:panose1 w:val="03000509000000000000"/>
    <w:charset w:val="86"/>
    <w:family w:val="script"/>
    <w:pitch w:val="default"/>
    <w:sig w:usb0="00000000" w:usb1="00000000" w:usb2="00000010" w:usb3="00000000" w:csb0="00040000" w:csb1="00000000"/>
    <w:embedRegular r:id="rId5" w:fontKey="{9B720DF7-E5BC-466D-9703-EDF2167D3B8D}"/>
  </w:font>
  <w:font w:name="方正楷体简体">
    <w:altName w:val="宋体"/>
    <w:panose1 w:val="03000509000000000000"/>
    <w:charset w:val="86"/>
    <w:family w:val="script"/>
    <w:pitch w:val="default"/>
    <w:sig w:usb0="00000000" w:usb1="00000000" w:usb2="00000010" w:usb3="00000000" w:csb0="00040000" w:csb1="00000000"/>
    <w:embedRegular r:id="rId6" w:fontKey="{53DE1BCF-3903-4A08-9A00-49FB7FC7AA5B}"/>
  </w:font>
  <w:font w:name="微软雅黑">
    <w:panose1 w:val="020B0503020204020204"/>
    <w:charset w:val="86"/>
    <w:family w:val="auto"/>
    <w:pitch w:val="default"/>
    <w:sig w:usb0="80000287" w:usb1="280F3C52" w:usb2="00000016" w:usb3="00000000" w:csb0="0004001F" w:csb1="00000000"/>
  </w:font>
  <w:font w:name="方正楷体_GB2312">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335977"/>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xNTE0MGE1OTRjOWQzZjZiNjgxODdkNDZlYjQ5MjkifQ=="/>
  </w:docVars>
  <w:rsids>
    <w:rsidRoot w:val="006671E9"/>
    <w:rsid w:val="006671E9"/>
    <w:rsid w:val="007C24FC"/>
    <w:rsid w:val="460B2F10"/>
    <w:rsid w:val="567C4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0正文"/>
    <w:qFormat/>
    <w:uiPriority w:val="0"/>
    <w:pPr>
      <w:widowControl w:val="0"/>
      <w:spacing w:line="360" w:lineRule="auto"/>
      <w:ind w:firstLine="720" w:firstLineChars="200"/>
    </w:pPr>
    <w:rPr>
      <w:rFonts w:ascii="Times New Roman" w:hAnsi="Times New Roman" w:eastAsia="宋体" w:cs="Times New Roman"/>
      <w:sz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141</Words>
  <Characters>805</Characters>
  <Lines>6</Lines>
  <Paragraphs>1</Paragraphs>
  <TotalTime>15</TotalTime>
  <ScaleCrop>false</ScaleCrop>
  <LinksUpToDate>false</LinksUpToDate>
  <CharactersWithSpaces>945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2023-12-07T06:58:00Z</dcterms:created>
  <dc:creator>sunjiwei</dc:creator>
  <cp:lastModifiedBy>否极泰来</cp:lastModifiedBy>
  <dcterms:modified xsi:type="dcterms:W3CDTF">2023-12-08T00:41:10Z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1C2979A1DDC6437B9A65832169BB3EB3_13</vt:lpwstr>
  </property>
</Properties>
</file>