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中共丹东市工业和信息化局党组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关于市委巡察整改落实进展情况的通报</w:t>
      </w:r>
    </w:p>
    <w:p>
      <w:pPr>
        <w:widowControl w:val="0"/>
        <w:tabs>
          <w:tab w:val="left" w:pos="5642"/>
        </w:tabs>
        <w:wordWrap/>
        <w:adjustRightInd/>
        <w:snapToGrid/>
        <w:spacing w:before="0" w:after="0" w:line="579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根据市委和市委巡察工作领导小组统一部署，2022年2月28日起，历时3个月，市委第六巡察组对丹东市工业和信息化局进行了营商环境专项巡察。2022年9月29日，市委第六巡察组向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丹东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市工业和信息化局党组反馈了巡察意见。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按照党务公开原则和巡察工作有关要求，现将巡察整改情况予以公布。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一、巡察整改落实情况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</w:rPr>
        <w:t>（一）统一思想 不断提高政治站位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</w:rPr>
        <w:t>市工业和信息化局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党组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坚持以习近平新时代中国特色社会主义思想为指导，切实把思想统一到中央和省委、市委的重要决策部署上来。市委第六巡察组的反馈意见，具有很强的针对性、指导性和操作性。市工业和信息化局党组以高度的政治责任感，完全拥护、照单全收、坚决整改，以刀刃向内的精神，正视工作中存在的问题和薄弱环节，严格按照市委统一部署和市委巡察反馈意见的要求，扎实推动巡察整改工作全面落实落地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</w:rPr>
        <w:t>（二）强化组织领导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市工业和信息化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局党组在市委第六巡察组反馈意见后，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及时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召开了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党组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会议，专题研究巡察反馈意见整改工作，党组书记、局长朱江同志带领班子成员直面问题，主动对号入座，深刻反思，统筹抓好整改工作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；并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以“坚决抓好市委巡察反馈意见整改落实”为主题，召开领导班子专题民主生活会，班子成员以高度的政治责任感，把自己摆进去、把职责摆进去、把工作摆进去，全面组织推进市委巡察整改“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后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半篇文章”具体工作。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sz w:val="34"/>
          <w:szCs w:val="34"/>
        </w:rPr>
      </w:pPr>
      <w:r>
        <w:rPr>
          <w:rFonts w:hint="eastAsia" w:ascii="方正楷体简体" w:hAnsi="方正楷体简体" w:eastAsia="方正楷体简体" w:cs="方正楷体简体"/>
          <w:sz w:val="34"/>
          <w:szCs w:val="34"/>
        </w:rPr>
        <w:t>（三）抓实抓细巡察整改具体工作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为切实抓好巡察整改工作，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成立了市工业和信息化局巡察整改工作领导小组，组长由党组书记、局长担任，副组长由党组成员、副局长和直属工信中心党委书记、主任担任，成员包括机关各科室负责人，小组下设办公室，负责统筹推进巡察整改工作。制定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印发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了《市工业和信息化局落实市委第六巡察组反馈意见的整改方案》（丹工信党组〔2022〕35号），明确了整改原则、整改目标、整改步骤、整改任务措施和工作要求及责任领导、责任部门，层层压实责任，强化整改落实，以抓铁有痕、踏石留印的工作作风，坚决完成此次巡察整改工作任务。在市委和市委巡察工作领导小组统一部署下，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市工业和信息化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局全面深入贯彻中央、省委、市委工作要求，通过扎实开展专项整改，大力优化营商环境建设，不断转变工作作风，持续推动我市工业经济高质量发展，取得了阶段性成果。到目前，市委巡察反馈的三部分8个方面25个主要问题，涉及43个具体表现，制定整改措施92条，已完成9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条，整改完成率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100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％，有10个整改措施需要长期推进。期间，组织修订完善制度方案11项，督导清偿账款6334.9477万元，推动下达涉企扶持资金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4499.72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万元，大力推动我市营商环境生态建设持续向好、推动我市工业经济全面振兴全方位振兴。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欢迎广大干部群众对巡察整改落实情况进行监督。如有意见建议，请及时向我们反馈。联系方式：电话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2123111；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邮政信箱：丹东市振兴区银河大街1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00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号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丹东市工业和信息化局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收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2550" w:firstLineChars="797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2550" w:firstLineChars="797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中共丹东市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工业和信息化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党组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4"/>
          <w:szCs w:val="34"/>
        </w:rPr>
        <w:t>20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23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日</w:t>
      </w:r>
    </w:p>
    <w:sectPr>
      <w:footerReference r:id="rId4" w:type="default"/>
      <w:pgSz w:w="11906" w:h="16838"/>
      <w:pgMar w:top="2211" w:right="1531" w:bottom="1871" w:left="1531" w:header="851" w:footer="992" w:gutter="0"/>
      <w:paperSrc w:first="0" w:other="0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楷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025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1669</Words>
  <Characters>1740</Characters>
  <Lines>46</Lines>
  <Paragraphs>13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2018-08-20T06:59:00Z</dcterms:created>
  <dc:creator>Administrator</dc:creator>
  <cp:lastPrinted>2018-08-24T05:04:00Z</cp:lastPrinted>
  <dcterms:modified xsi:type="dcterms:W3CDTF">2023-10-16T09:33:21Z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FE06657BDBF54AF085D29020C5BDF967_13</vt:lpwstr>
  </property>
</Properties>
</file>